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0D50" w14:textId="62D97E45" w:rsidR="00823605" w:rsidRPr="00FB7A61" w:rsidRDefault="00823605" w:rsidP="002C6D42">
      <w:pPr>
        <w:spacing w:before="120" w:after="0" w:line="240" w:lineRule="auto"/>
        <w:jc w:val="center"/>
        <w:rPr>
          <w:rFonts w:ascii="Times New Roman" w:hAnsi="Times New Roman" w:cs="Times New Roman"/>
          <w:b/>
          <w:sz w:val="24"/>
          <w:szCs w:val="24"/>
        </w:rPr>
      </w:pPr>
      <w:r w:rsidRPr="0019320B">
        <w:rPr>
          <w:rFonts w:ascii="Times New Roman" w:hAnsi="Times New Roman" w:cs="Times New Roman"/>
          <w:b/>
          <w:sz w:val="24"/>
          <w:szCs w:val="24"/>
        </w:rPr>
        <w:t xml:space="preserve">GHID  privind </w:t>
      </w:r>
      <w:r w:rsidR="006F1728" w:rsidRPr="0019320B">
        <w:rPr>
          <w:rFonts w:ascii="Times New Roman" w:hAnsi="Times New Roman" w:cs="Times New Roman"/>
          <w:b/>
          <w:sz w:val="24"/>
          <w:szCs w:val="24"/>
        </w:rPr>
        <w:t xml:space="preserve">activitatea </w:t>
      </w:r>
      <w:r w:rsidRPr="0019320B">
        <w:rPr>
          <w:rFonts w:ascii="Times New Roman" w:hAnsi="Times New Roman" w:cs="Times New Roman"/>
          <w:b/>
          <w:sz w:val="24"/>
          <w:szCs w:val="24"/>
        </w:rPr>
        <w:t>auditorilor</w:t>
      </w:r>
      <w:r w:rsidR="00D16263" w:rsidRPr="0019320B">
        <w:rPr>
          <w:rStyle w:val="Referinnotdesubsol"/>
          <w:rFonts w:ascii="Times New Roman" w:hAnsi="Times New Roman" w:cs="Times New Roman"/>
          <w:b/>
          <w:sz w:val="24"/>
          <w:szCs w:val="24"/>
        </w:rPr>
        <w:footnoteReference w:id="1"/>
      </w:r>
      <w:r w:rsidRPr="0019320B">
        <w:rPr>
          <w:rFonts w:ascii="Times New Roman" w:hAnsi="Times New Roman" w:cs="Times New Roman"/>
          <w:b/>
          <w:sz w:val="24"/>
          <w:szCs w:val="24"/>
        </w:rPr>
        <w:t xml:space="preserve"> </w:t>
      </w:r>
      <w:r w:rsidR="006F1728" w:rsidRPr="0019320B">
        <w:rPr>
          <w:rFonts w:ascii="Times New Roman" w:hAnsi="Times New Roman" w:cs="Times New Roman"/>
          <w:b/>
          <w:sz w:val="24"/>
          <w:szCs w:val="24"/>
        </w:rPr>
        <w:t>cu privire la</w:t>
      </w:r>
      <w:r w:rsidRPr="0019320B">
        <w:rPr>
          <w:rFonts w:ascii="Times New Roman" w:hAnsi="Times New Roman" w:cs="Times New Roman"/>
          <w:b/>
          <w:sz w:val="24"/>
          <w:szCs w:val="24"/>
        </w:rPr>
        <w:t xml:space="preserve"> </w:t>
      </w:r>
      <w:r w:rsidR="0019320B" w:rsidRPr="0019320B">
        <w:rPr>
          <w:rFonts w:ascii="Times New Roman" w:hAnsi="Times New Roman" w:cs="Times New Roman"/>
          <w:b/>
          <w:sz w:val="24"/>
          <w:szCs w:val="24"/>
        </w:rPr>
        <w:t xml:space="preserve">raportarea asupra </w:t>
      </w:r>
      <w:r w:rsidRPr="0019320B">
        <w:rPr>
          <w:rFonts w:ascii="Times New Roman" w:hAnsi="Times New Roman" w:cs="Times New Roman"/>
          <w:b/>
          <w:sz w:val="24"/>
          <w:szCs w:val="24"/>
        </w:rPr>
        <w:t>situațiil</w:t>
      </w:r>
      <w:r w:rsidR="0019320B" w:rsidRPr="0019320B">
        <w:rPr>
          <w:rFonts w:ascii="Times New Roman" w:hAnsi="Times New Roman" w:cs="Times New Roman"/>
          <w:b/>
          <w:sz w:val="24"/>
          <w:szCs w:val="24"/>
        </w:rPr>
        <w:t>or</w:t>
      </w:r>
      <w:r w:rsidRPr="00666D35">
        <w:rPr>
          <w:rFonts w:ascii="Times New Roman" w:hAnsi="Times New Roman" w:cs="Times New Roman"/>
          <w:b/>
          <w:sz w:val="24"/>
          <w:szCs w:val="24"/>
        </w:rPr>
        <w:t xml:space="preserve"> financiare </w:t>
      </w:r>
      <w:r w:rsidR="0019320B" w:rsidRPr="0019320B">
        <w:rPr>
          <w:rFonts w:ascii="Times New Roman" w:hAnsi="Times New Roman" w:cs="Times New Roman"/>
          <w:b/>
          <w:sz w:val="24"/>
          <w:szCs w:val="24"/>
        </w:rPr>
        <w:t xml:space="preserve">anuale </w:t>
      </w:r>
      <w:r w:rsidRPr="0019320B">
        <w:rPr>
          <w:rFonts w:ascii="Times New Roman" w:hAnsi="Times New Roman" w:cs="Times New Roman"/>
          <w:b/>
          <w:sz w:val="24"/>
          <w:szCs w:val="24"/>
        </w:rPr>
        <w:t xml:space="preserve">în </w:t>
      </w:r>
      <w:r w:rsidR="00EE1628" w:rsidRPr="0019320B">
        <w:rPr>
          <w:rFonts w:ascii="Times New Roman" w:hAnsi="Times New Roman" w:cs="Times New Roman"/>
          <w:b/>
          <w:sz w:val="24"/>
          <w:szCs w:val="24"/>
        </w:rPr>
        <w:t>F</w:t>
      </w:r>
      <w:r w:rsidRPr="0019320B">
        <w:rPr>
          <w:rFonts w:ascii="Times New Roman" w:hAnsi="Times New Roman" w:cs="Times New Roman"/>
          <w:b/>
          <w:sz w:val="24"/>
          <w:szCs w:val="24"/>
        </w:rPr>
        <w:t>ormat</w:t>
      </w:r>
      <w:r w:rsidR="00305B0C" w:rsidRPr="0019320B">
        <w:rPr>
          <w:rFonts w:ascii="Times New Roman" w:hAnsi="Times New Roman" w:cs="Times New Roman"/>
          <w:b/>
          <w:sz w:val="24"/>
          <w:szCs w:val="24"/>
        </w:rPr>
        <w:t>ul</w:t>
      </w:r>
      <w:r w:rsidRPr="0019320B">
        <w:rPr>
          <w:rFonts w:ascii="Times New Roman" w:hAnsi="Times New Roman" w:cs="Times New Roman"/>
          <w:b/>
          <w:sz w:val="24"/>
          <w:szCs w:val="24"/>
        </w:rPr>
        <w:t xml:space="preserve"> </w:t>
      </w:r>
      <w:r w:rsidR="00EE1628" w:rsidRPr="0019320B">
        <w:rPr>
          <w:rFonts w:ascii="Times New Roman" w:hAnsi="Times New Roman" w:cs="Times New Roman"/>
          <w:b/>
          <w:sz w:val="24"/>
          <w:szCs w:val="24"/>
        </w:rPr>
        <w:t>E</w:t>
      </w:r>
      <w:r w:rsidRPr="0019320B">
        <w:rPr>
          <w:rFonts w:ascii="Times New Roman" w:hAnsi="Times New Roman" w:cs="Times New Roman"/>
          <w:b/>
          <w:sz w:val="24"/>
          <w:szCs w:val="24"/>
        </w:rPr>
        <w:t xml:space="preserve">lectronic </w:t>
      </w:r>
      <w:r w:rsidR="00EE1628" w:rsidRPr="0019320B">
        <w:rPr>
          <w:rFonts w:ascii="Times New Roman" w:hAnsi="Times New Roman" w:cs="Times New Roman"/>
          <w:b/>
          <w:sz w:val="24"/>
          <w:szCs w:val="24"/>
        </w:rPr>
        <w:t>U</w:t>
      </w:r>
      <w:r w:rsidRPr="0019320B">
        <w:rPr>
          <w:rFonts w:ascii="Times New Roman" w:hAnsi="Times New Roman" w:cs="Times New Roman"/>
          <w:b/>
          <w:sz w:val="24"/>
          <w:szCs w:val="24"/>
        </w:rPr>
        <w:t>nic European</w:t>
      </w:r>
    </w:p>
    <w:p w14:paraId="3522C013" w14:textId="77777777" w:rsidR="00E36757" w:rsidRPr="00FB7A61" w:rsidRDefault="00E36757" w:rsidP="002C6D42">
      <w:pPr>
        <w:spacing w:before="120" w:after="0" w:line="240" w:lineRule="auto"/>
        <w:jc w:val="center"/>
        <w:rPr>
          <w:rFonts w:ascii="Times New Roman" w:hAnsi="Times New Roman" w:cs="Times New Roman"/>
          <w:color w:val="000000"/>
          <w:sz w:val="24"/>
          <w:szCs w:val="24"/>
        </w:rPr>
      </w:pPr>
    </w:p>
    <w:p w14:paraId="37C81124" w14:textId="3E848CB3" w:rsidR="00823605" w:rsidRPr="00FB7A61" w:rsidRDefault="00823605" w:rsidP="002C6D42">
      <w:pPr>
        <w:pStyle w:val="Listparagraf"/>
        <w:numPr>
          <w:ilvl w:val="0"/>
          <w:numId w:val="4"/>
        </w:numPr>
        <w:spacing w:before="120" w:after="120" w:line="240" w:lineRule="auto"/>
        <w:ind w:left="360" w:hanging="360"/>
        <w:contextualSpacing w:val="0"/>
        <w:jc w:val="both"/>
        <w:rPr>
          <w:rFonts w:ascii="Times New Roman" w:hAnsi="Times New Roman" w:cs="Times New Roman"/>
          <w:b/>
          <w:sz w:val="24"/>
          <w:szCs w:val="24"/>
          <w:lang w:val="ro-RO"/>
        </w:rPr>
      </w:pPr>
      <w:r w:rsidRPr="00FB7A61">
        <w:rPr>
          <w:rFonts w:ascii="Times New Roman" w:hAnsi="Times New Roman" w:cs="Times New Roman"/>
          <w:b/>
          <w:sz w:val="24"/>
          <w:szCs w:val="24"/>
          <w:lang w:val="ro-RO"/>
        </w:rPr>
        <w:t>Con</w:t>
      </w:r>
      <w:r w:rsidR="006953FA" w:rsidRPr="00FB7A61">
        <w:rPr>
          <w:rFonts w:ascii="Times New Roman" w:hAnsi="Times New Roman" w:cs="Times New Roman"/>
          <w:b/>
          <w:sz w:val="24"/>
          <w:szCs w:val="24"/>
          <w:lang w:val="ro-RO"/>
        </w:rPr>
        <w:t>text</w:t>
      </w:r>
      <w:r w:rsidRPr="00FB7A61">
        <w:rPr>
          <w:rFonts w:ascii="Times New Roman" w:hAnsi="Times New Roman" w:cs="Times New Roman"/>
          <w:b/>
          <w:sz w:val="24"/>
          <w:szCs w:val="24"/>
          <w:lang w:val="ro-RO"/>
        </w:rPr>
        <w:t xml:space="preserve"> </w:t>
      </w:r>
    </w:p>
    <w:p w14:paraId="352A6096" w14:textId="581B916B" w:rsidR="00823605" w:rsidRPr="00D54ECE" w:rsidRDefault="00823605" w:rsidP="00563274">
      <w:pPr>
        <w:pStyle w:val="Listparagraf"/>
        <w:spacing w:before="120" w:after="0" w:line="240" w:lineRule="auto"/>
        <w:ind w:left="0"/>
        <w:contextualSpacing w:val="0"/>
        <w:jc w:val="both"/>
        <w:rPr>
          <w:rFonts w:ascii="Times New Roman" w:hAnsi="Times New Roman" w:cs="Times New Roman"/>
          <w:bCs/>
          <w:sz w:val="24"/>
          <w:szCs w:val="24"/>
          <w:lang w:val="ro-RO"/>
        </w:rPr>
      </w:pPr>
      <w:r w:rsidRPr="006F1728">
        <w:rPr>
          <w:rFonts w:ascii="Times New Roman" w:hAnsi="Times New Roman" w:cs="Times New Roman"/>
          <w:bCs/>
          <w:sz w:val="24"/>
          <w:szCs w:val="24"/>
          <w:lang w:val="ro-RO"/>
        </w:rPr>
        <w:t xml:space="preserve">Formatul </w:t>
      </w:r>
      <w:r w:rsidR="00563274" w:rsidRPr="006F1728">
        <w:rPr>
          <w:rFonts w:ascii="Times New Roman" w:hAnsi="Times New Roman" w:cs="Times New Roman"/>
          <w:bCs/>
          <w:sz w:val="24"/>
          <w:szCs w:val="24"/>
          <w:lang w:val="ro-RO"/>
        </w:rPr>
        <w:t xml:space="preserve">de raportare </w:t>
      </w:r>
      <w:r w:rsidRPr="006F1728">
        <w:rPr>
          <w:rFonts w:ascii="Times New Roman" w:hAnsi="Times New Roman" w:cs="Times New Roman"/>
          <w:bCs/>
          <w:sz w:val="24"/>
          <w:szCs w:val="24"/>
          <w:lang w:val="ro-RO"/>
        </w:rPr>
        <w:t>electronic u</w:t>
      </w:r>
      <w:r w:rsidR="005809CD" w:rsidRPr="006F1728">
        <w:rPr>
          <w:rFonts w:ascii="Times New Roman" w:hAnsi="Times New Roman" w:cs="Times New Roman"/>
          <w:bCs/>
          <w:sz w:val="24"/>
          <w:szCs w:val="24"/>
          <w:lang w:val="ro-RO"/>
        </w:rPr>
        <w:t>n</w:t>
      </w:r>
      <w:r w:rsidRPr="006F1728">
        <w:rPr>
          <w:rFonts w:ascii="Times New Roman" w:hAnsi="Times New Roman" w:cs="Times New Roman"/>
          <w:bCs/>
          <w:sz w:val="24"/>
          <w:szCs w:val="24"/>
          <w:lang w:val="ro-RO"/>
        </w:rPr>
        <w:t xml:space="preserve">ic </w:t>
      </w:r>
      <w:r w:rsidR="006B2044" w:rsidRPr="006F1728">
        <w:rPr>
          <w:rFonts w:ascii="Times New Roman" w:hAnsi="Times New Roman" w:cs="Times New Roman"/>
          <w:bCs/>
          <w:sz w:val="24"/>
          <w:szCs w:val="24"/>
          <w:lang w:val="ro-RO"/>
        </w:rPr>
        <w:t>e</w:t>
      </w:r>
      <w:r w:rsidRPr="006F1728">
        <w:rPr>
          <w:rFonts w:ascii="Times New Roman" w:hAnsi="Times New Roman" w:cs="Times New Roman"/>
          <w:bCs/>
          <w:sz w:val="24"/>
          <w:szCs w:val="24"/>
          <w:lang w:val="ro-RO"/>
        </w:rPr>
        <w:t xml:space="preserve">uropean (ESEF) </w:t>
      </w:r>
      <w:r w:rsidR="00E05665" w:rsidRPr="006F1728">
        <w:rPr>
          <w:rFonts w:ascii="Times New Roman" w:hAnsi="Times New Roman" w:cs="Times New Roman"/>
          <w:bCs/>
          <w:sz w:val="24"/>
          <w:szCs w:val="24"/>
          <w:lang w:val="ro-RO"/>
        </w:rPr>
        <w:t xml:space="preserve">se aplică </w:t>
      </w:r>
      <w:r w:rsidRPr="006F1728">
        <w:rPr>
          <w:rFonts w:ascii="Times New Roman" w:hAnsi="Times New Roman" w:cs="Times New Roman"/>
          <w:bCs/>
          <w:sz w:val="24"/>
          <w:szCs w:val="24"/>
          <w:lang w:val="ro-RO"/>
        </w:rPr>
        <w:t xml:space="preserve">în </w:t>
      </w:r>
      <w:r w:rsidR="00E05665" w:rsidRPr="006F1728">
        <w:rPr>
          <w:rFonts w:ascii="Times New Roman" w:hAnsi="Times New Roman" w:cs="Times New Roman"/>
          <w:bCs/>
          <w:sz w:val="24"/>
          <w:szCs w:val="24"/>
          <w:lang w:val="ro-RO"/>
        </w:rPr>
        <w:t>conformitate cu prevederile</w:t>
      </w:r>
      <w:r w:rsidRPr="006F1728">
        <w:rPr>
          <w:rFonts w:ascii="Times New Roman" w:hAnsi="Times New Roman" w:cs="Times New Roman"/>
          <w:bCs/>
          <w:sz w:val="24"/>
          <w:szCs w:val="24"/>
          <w:lang w:val="ro-RO"/>
        </w:rPr>
        <w:t xml:space="preserve"> </w:t>
      </w:r>
      <w:r w:rsidR="00730F7F" w:rsidRPr="00730F7F">
        <w:rPr>
          <w:rFonts w:ascii="Times New Roman" w:hAnsi="Times New Roman" w:cs="Times New Roman"/>
          <w:bCs/>
          <w:sz w:val="24"/>
          <w:szCs w:val="24"/>
          <w:lang w:val="ro-RO"/>
        </w:rPr>
        <w:t>art. 176 din Legea nr. 24/2017 privind emitenţii de instrumente financiare şi operaţiuni de piaţă republicata</w:t>
      </w:r>
      <w:r w:rsidR="00730F7F">
        <w:rPr>
          <w:rFonts w:ascii="Times New Roman" w:hAnsi="Times New Roman" w:cs="Times New Roman"/>
          <w:bCs/>
          <w:sz w:val="24"/>
          <w:szCs w:val="24"/>
          <w:lang w:val="ro-RO"/>
        </w:rPr>
        <w:t>, care transpune în legislația națională prevederile</w:t>
      </w:r>
      <w:r w:rsidR="00730F7F" w:rsidRPr="00730F7F">
        <w:rPr>
          <w:rFonts w:ascii="Times New Roman" w:hAnsi="Times New Roman" w:cs="Times New Roman"/>
          <w:bCs/>
          <w:sz w:val="24"/>
          <w:szCs w:val="24"/>
          <w:lang w:val="ro-RO"/>
        </w:rPr>
        <w:t xml:space="preserve"> </w:t>
      </w:r>
      <w:r w:rsidRPr="006F1728">
        <w:rPr>
          <w:rFonts w:ascii="Times New Roman" w:hAnsi="Times New Roman" w:cs="Times New Roman"/>
          <w:bCs/>
          <w:sz w:val="24"/>
          <w:szCs w:val="24"/>
          <w:lang w:val="ro-RO"/>
        </w:rPr>
        <w:t>art</w:t>
      </w:r>
      <w:r w:rsidR="00730F7F">
        <w:rPr>
          <w:rFonts w:ascii="Times New Roman" w:hAnsi="Times New Roman" w:cs="Times New Roman"/>
          <w:bCs/>
          <w:sz w:val="24"/>
          <w:szCs w:val="24"/>
          <w:lang w:val="ro-RO"/>
        </w:rPr>
        <w:t>.</w:t>
      </w:r>
      <w:r w:rsidRPr="006F1728">
        <w:rPr>
          <w:rFonts w:ascii="Times New Roman" w:hAnsi="Times New Roman" w:cs="Times New Roman"/>
          <w:bCs/>
          <w:sz w:val="24"/>
          <w:szCs w:val="24"/>
          <w:lang w:val="ro-RO"/>
        </w:rPr>
        <w:t xml:space="preserve"> 4 alin</w:t>
      </w:r>
      <w:r w:rsidR="00730F7F">
        <w:rPr>
          <w:rFonts w:ascii="Times New Roman" w:hAnsi="Times New Roman" w:cs="Times New Roman"/>
          <w:bCs/>
          <w:sz w:val="24"/>
          <w:szCs w:val="24"/>
          <w:lang w:val="ro-RO"/>
        </w:rPr>
        <w:t>.</w:t>
      </w:r>
      <w:r w:rsidRPr="006F1728">
        <w:rPr>
          <w:rFonts w:ascii="Times New Roman" w:hAnsi="Times New Roman" w:cs="Times New Roman"/>
          <w:bCs/>
          <w:sz w:val="24"/>
          <w:szCs w:val="24"/>
          <w:lang w:val="ro-RO"/>
        </w:rPr>
        <w:t xml:space="preserve"> (7) </w:t>
      </w:r>
      <w:r w:rsidR="00730F7F">
        <w:rPr>
          <w:rFonts w:ascii="Times New Roman" w:hAnsi="Times New Roman" w:cs="Times New Roman"/>
          <w:bCs/>
          <w:sz w:val="24"/>
          <w:szCs w:val="24"/>
          <w:lang w:val="ro-RO"/>
        </w:rPr>
        <w:t>din</w:t>
      </w:r>
      <w:r w:rsidR="00730F7F" w:rsidRPr="006F1728">
        <w:rPr>
          <w:rFonts w:ascii="Times New Roman" w:hAnsi="Times New Roman" w:cs="Times New Roman"/>
          <w:bCs/>
          <w:sz w:val="24"/>
          <w:szCs w:val="24"/>
          <w:lang w:val="ro-RO"/>
        </w:rPr>
        <w:t xml:space="preserve"> </w:t>
      </w:r>
      <w:r w:rsidR="00563274" w:rsidRPr="006F1728">
        <w:rPr>
          <w:rFonts w:ascii="Times New Roman" w:hAnsi="Times New Roman" w:cs="Times New Roman"/>
          <w:bCs/>
          <w:sz w:val="24"/>
          <w:szCs w:val="24"/>
          <w:lang w:val="ro-RO"/>
        </w:rPr>
        <w:t>Directiv</w:t>
      </w:r>
      <w:r w:rsidR="00730F7F">
        <w:rPr>
          <w:rFonts w:ascii="Times New Roman" w:hAnsi="Times New Roman" w:cs="Times New Roman"/>
          <w:bCs/>
          <w:sz w:val="24"/>
          <w:szCs w:val="24"/>
          <w:lang w:val="ro-RO"/>
        </w:rPr>
        <w:t>a</w:t>
      </w:r>
      <w:r w:rsidR="00563274" w:rsidRPr="006F1728">
        <w:rPr>
          <w:rFonts w:ascii="Times New Roman" w:hAnsi="Times New Roman" w:cs="Times New Roman"/>
          <w:bCs/>
          <w:sz w:val="24"/>
          <w:szCs w:val="24"/>
          <w:lang w:val="ro-RO"/>
        </w:rPr>
        <w:t xml:space="preserve"> 2004/109/CE a Parlamentului European și a </w:t>
      </w:r>
      <w:r w:rsidR="005D120C" w:rsidRPr="006F1728">
        <w:rPr>
          <w:rFonts w:ascii="Times New Roman" w:hAnsi="Times New Roman" w:cs="Times New Roman"/>
          <w:bCs/>
          <w:sz w:val="24"/>
          <w:szCs w:val="24"/>
          <w:lang w:val="ro-RO"/>
        </w:rPr>
        <w:t>C</w:t>
      </w:r>
      <w:r w:rsidR="00563274" w:rsidRPr="006F1728">
        <w:rPr>
          <w:rFonts w:ascii="Times New Roman" w:hAnsi="Times New Roman" w:cs="Times New Roman"/>
          <w:bCs/>
          <w:sz w:val="24"/>
          <w:szCs w:val="24"/>
          <w:lang w:val="ro-RO"/>
        </w:rPr>
        <w:t>onsiliului privind armonizarea obligațiilor de transparență în ceea ce privește informația referitoare la emitenții ale căror valori mobiliare sunt admise la tranzacționare pe o piață reglementată și de modificare a Directivei 2001/34/CE</w:t>
      </w:r>
      <w:r w:rsidRPr="006F1728">
        <w:rPr>
          <w:rFonts w:ascii="Times New Roman" w:hAnsi="Times New Roman" w:cs="Times New Roman"/>
          <w:bCs/>
          <w:sz w:val="24"/>
          <w:szCs w:val="24"/>
          <w:lang w:val="ro-RO"/>
        </w:rPr>
        <w:t xml:space="preserve">. </w:t>
      </w:r>
      <w:r w:rsidR="009A78D4" w:rsidRPr="006F1728">
        <w:rPr>
          <w:rFonts w:ascii="Times New Roman" w:hAnsi="Times New Roman" w:cs="Times New Roman"/>
          <w:bCs/>
          <w:sz w:val="24"/>
          <w:szCs w:val="24"/>
          <w:lang w:val="ro-RO"/>
        </w:rPr>
        <w:t>Ace</w:t>
      </w:r>
      <w:r w:rsidRPr="006F1728">
        <w:rPr>
          <w:rFonts w:ascii="Times New Roman" w:hAnsi="Times New Roman" w:cs="Times New Roman"/>
          <w:bCs/>
          <w:sz w:val="24"/>
          <w:szCs w:val="24"/>
          <w:lang w:val="ro-RO"/>
        </w:rPr>
        <w:t xml:space="preserve">sta este noul format unic de raportare electronică pentru emiterea de </w:t>
      </w:r>
      <w:r w:rsidR="00427788" w:rsidRPr="006F1728">
        <w:rPr>
          <w:rFonts w:ascii="Times New Roman" w:hAnsi="Times New Roman" w:cs="Times New Roman"/>
          <w:bCs/>
          <w:sz w:val="24"/>
          <w:szCs w:val="24"/>
          <w:lang w:val="ro-RO"/>
        </w:rPr>
        <w:t xml:space="preserve">situații </w:t>
      </w:r>
      <w:r w:rsidRPr="006F1728">
        <w:rPr>
          <w:rFonts w:ascii="Times New Roman" w:hAnsi="Times New Roman" w:cs="Times New Roman"/>
          <w:bCs/>
          <w:sz w:val="24"/>
          <w:szCs w:val="24"/>
          <w:lang w:val="ro-RO"/>
        </w:rPr>
        <w:t>financiare anuale</w:t>
      </w:r>
      <w:r w:rsidR="00E05665" w:rsidRPr="006F1728">
        <w:rPr>
          <w:rFonts w:ascii="Times New Roman" w:hAnsi="Times New Roman" w:cs="Times New Roman"/>
          <w:bCs/>
          <w:sz w:val="24"/>
          <w:szCs w:val="24"/>
          <w:lang w:val="ro-RO"/>
        </w:rPr>
        <w:t>,</w:t>
      </w:r>
      <w:r w:rsidRPr="006F1728">
        <w:rPr>
          <w:rFonts w:ascii="Times New Roman" w:hAnsi="Times New Roman" w:cs="Times New Roman"/>
          <w:bCs/>
          <w:sz w:val="24"/>
          <w:szCs w:val="24"/>
          <w:lang w:val="ro-RO"/>
        </w:rPr>
        <w:t xml:space="preserve"> care urmează să fie publicate de emitenți</w:t>
      </w:r>
      <w:r w:rsidR="00742519" w:rsidRPr="006F1728">
        <w:rPr>
          <w:rFonts w:ascii="Times New Roman" w:hAnsi="Times New Roman" w:cs="Times New Roman"/>
          <w:bCs/>
          <w:sz w:val="24"/>
          <w:szCs w:val="24"/>
          <w:lang w:val="ro-RO"/>
        </w:rPr>
        <w:t>i</w:t>
      </w:r>
      <w:r w:rsidRPr="006F1728">
        <w:rPr>
          <w:rFonts w:ascii="Times New Roman" w:hAnsi="Times New Roman" w:cs="Times New Roman"/>
          <w:bCs/>
          <w:sz w:val="24"/>
          <w:szCs w:val="24"/>
          <w:lang w:val="ro-RO"/>
        </w:rPr>
        <w:t xml:space="preserve"> ale căror titluri de valoare sunt admise la tranzacționare pe o </w:t>
      </w:r>
      <w:r w:rsidR="00E13FBC" w:rsidRPr="006F1728">
        <w:rPr>
          <w:rFonts w:ascii="Times New Roman" w:hAnsi="Times New Roman" w:cs="Times New Roman"/>
          <w:bCs/>
          <w:sz w:val="24"/>
          <w:szCs w:val="24"/>
          <w:lang w:val="ro-RO"/>
        </w:rPr>
        <w:t>piaţă</w:t>
      </w:r>
      <w:r w:rsidRPr="006F1728">
        <w:rPr>
          <w:rFonts w:ascii="Times New Roman" w:hAnsi="Times New Roman" w:cs="Times New Roman"/>
          <w:bCs/>
          <w:sz w:val="24"/>
          <w:szCs w:val="24"/>
          <w:lang w:val="ro-RO"/>
        </w:rPr>
        <w:t xml:space="preserve"> reglementat</w:t>
      </w:r>
      <w:r w:rsidR="00EE1628" w:rsidRPr="006F1728">
        <w:rPr>
          <w:rFonts w:ascii="Times New Roman" w:hAnsi="Times New Roman" w:cs="Times New Roman"/>
          <w:bCs/>
          <w:sz w:val="24"/>
          <w:szCs w:val="24"/>
          <w:lang w:val="ro-RO"/>
        </w:rPr>
        <w:t>ă</w:t>
      </w:r>
      <w:r w:rsidRPr="006F1728">
        <w:rPr>
          <w:rFonts w:ascii="Times New Roman" w:hAnsi="Times New Roman" w:cs="Times New Roman"/>
          <w:bCs/>
          <w:sz w:val="24"/>
          <w:szCs w:val="24"/>
          <w:lang w:val="ro-RO"/>
        </w:rPr>
        <w:t xml:space="preserve"> </w:t>
      </w:r>
      <w:r w:rsidR="00E05665" w:rsidRPr="006F1728">
        <w:rPr>
          <w:rFonts w:ascii="Times New Roman" w:hAnsi="Times New Roman" w:cs="Times New Roman"/>
          <w:bCs/>
          <w:sz w:val="24"/>
          <w:szCs w:val="24"/>
          <w:lang w:val="ro-RO"/>
        </w:rPr>
        <w:t>î</w:t>
      </w:r>
      <w:r w:rsidRPr="006F1728">
        <w:rPr>
          <w:rFonts w:ascii="Times New Roman" w:hAnsi="Times New Roman" w:cs="Times New Roman"/>
          <w:bCs/>
          <w:sz w:val="24"/>
          <w:szCs w:val="24"/>
          <w:lang w:val="ro-RO"/>
        </w:rPr>
        <w:t xml:space="preserve">n </w:t>
      </w:r>
      <w:r w:rsidRPr="00730F7F">
        <w:rPr>
          <w:rFonts w:ascii="Times New Roman" w:hAnsi="Times New Roman" w:cs="Times New Roman"/>
          <w:bCs/>
          <w:sz w:val="24"/>
          <w:szCs w:val="24"/>
          <w:lang w:val="ro-RO"/>
        </w:rPr>
        <w:t>Uniunea Europea</w:t>
      </w:r>
      <w:r w:rsidR="00EE1628" w:rsidRPr="00730F7F">
        <w:rPr>
          <w:rFonts w:ascii="Times New Roman" w:hAnsi="Times New Roman" w:cs="Times New Roman"/>
          <w:bCs/>
          <w:sz w:val="24"/>
          <w:szCs w:val="24"/>
          <w:lang w:val="ro-RO"/>
        </w:rPr>
        <w:t>nă</w:t>
      </w:r>
      <w:r w:rsidRPr="00730F7F">
        <w:rPr>
          <w:rFonts w:ascii="Times New Roman" w:hAnsi="Times New Roman" w:cs="Times New Roman"/>
          <w:bCs/>
          <w:sz w:val="24"/>
          <w:szCs w:val="24"/>
          <w:lang w:val="ro-RO"/>
        </w:rPr>
        <w:t xml:space="preserve"> pentru exercițiile financiare care încep la sau după 1 ianuarie 2020</w:t>
      </w:r>
      <w:r w:rsidRPr="006F1728">
        <w:rPr>
          <w:rFonts w:ascii="Times New Roman" w:hAnsi="Times New Roman" w:cs="Times New Roman"/>
          <w:bCs/>
          <w:sz w:val="24"/>
          <w:szCs w:val="24"/>
          <w:lang w:val="ro-RO"/>
        </w:rPr>
        <w:t>.</w:t>
      </w:r>
    </w:p>
    <w:p w14:paraId="1043F523" w14:textId="4F2D3A17" w:rsidR="00E05665" w:rsidRPr="00D54ECE" w:rsidRDefault="00E05665" w:rsidP="002C6D42">
      <w:pPr>
        <w:pStyle w:val="Listparagraf"/>
        <w:spacing w:before="120" w:after="0" w:line="240" w:lineRule="auto"/>
        <w:ind w:left="0"/>
        <w:contextualSpacing w:val="0"/>
        <w:jc w:val="both"/>
        <w:rPr>
          <w:rFonts w:ascii="Times New Roman" w:hAnsi="Times New Roman" w:cs="Times New Roman"/>
          <w:bCs/>
          <w:sz w:val="24"/>
          <w:szCs w:val="24"/>
          <w:lang w:val="ro-RO"/>
        </w:rPr>
      </w:pPr>
      <w:r w:rsidRPr="00D54ECE">
        <w:rPr>
          <w:rFonts w:ascii="Times New Roman" w:hAnsi="Times New Roman" w:cs="Times New Roman"/>
          <w:bCs/>
          <w:sz w:val="24"/>
          <w:szCs w:val="24"/>
          <w:lang w:val="ro-RO"/>
        </w:rPr>
        <w:t xml:space="preserve">ESEF </w:t>
      </w:r>
      <w:r w:rsidR="00427788" w:rsidRPr="00D54ECE">
        <w:rPr>
          <w:rFonts w:ascii="Times New Roman" w:hAnsi="Times New Roman" w:cs="Times New Roman"/>
          <w:bCs/>
          <w:sz w:val="24"/>
          <w:szCs w:val="24"/>
          <w:lang w:val="ro-RO"/>
        </w:rPr>
        <w:t>este</w:t>
      </w:r>
      <w:r w:rsidRPr="00D54ECE">
        <w:rPr>
          <w:rFonts w:ascii="Times New Roman" w:hAnsi="Times New Roman" w:cs="Times New Roman"/>
          <w:bCs/>
          <w:sz w:val="24"/>
          <w:szCs w:val="24"/>
          <w:lang w:val="ro-RO"/>
        </w:rPr>
        <w:t xml:space="preserve"> un format electronic unic armonizat de raportare util </w:t>
      </w:r>
      <w:r w:rsidRPr="00041F78">
        <w:rPr>
          <w:rFonts w:ascii="Times New Roman" w:hAnsi="Times New Roman" w:cs="Times New Roman"/>
          <w:bCs/>
          <w:sz w:val="24"/>
          <w:szCs w:val="24"/>
          <w:lang w:val="ro-RO"/>
        </w:rPr>
        <w:t>atât emitenților</w:t>
      </w:r>
      <w:r w:rsidR="00742519" w:rsidRPr="00041F78">
        <w:rPr>
          <w:rFonts w:ascii="Times New Roman" w:hAnsi="Times New Roman" w:cs="Times New Roman"/>
          <w:bCs/>
          <w:sz w:val="24"/>
          <w:szCs w:val="24"/>
          <w:lang w:val="ro-RO"/>
        </w:rPr>
        <w:t xml:space="preserve"> și</w:t>
      </w:r>
      <w:r w:rsidRPr="00041F78">
        <w:rPr>
          <w:rFonts w:ascii="Times New Roman" w:hAnsi="Times New Roman" w:cs="Times New Roman"/>
          <w:bCs/>
          <w:sz w:val="24"/>
          <w:szCs w:val="24"/>
          <w:lang w:val="ro-RO"/>
        </w:rPr>
        <w:t xml:space="preserve"> investitorilor</w:t>
      </w:r>
      <w:r w:rsidR="00742519" w:rsidRPr="00D54ECE">
        <w:rPr>
          <w:rFonts w:ascii="Times New Roman" w:hAnsi="Times New Roman" w:cs="Times New Roman"/>
          <w:bCs/>
          <w:sz w:val="24"/>
          <w:szCs w:val="24"/>
          <w:lang w:val="ro-RO"/>
        </w:rPr>
        <w:t>,</w:t>
      </w:r>
      <w:r w:rsidRPr="00D54ECE">
        <w:rPr>
          <w:rFonts w:ascii="Times New Roman" w:hAnsi="Times New Roman" w:cs="Times New Roman"/>
          <w:bCs/>
          <w:sz w:val="24"/>
          <w:szCs w:val="24"/>
          <w:lang w:val="ro-RO"/>
        </w:rPr>
        <w:t xml:space="preserve"> cât și autorităților competente, deoarece facilitează accesabilitatea, analiza și </w:t>
      </w:r>
      <w:r w:rsidR="00E13FBC" w:rsidRPr="00D54ECE">
        <w:rPr>
          <w:rFonts w:ascii="Times New Roman" w:hAnsi="Times New Roman" w:cs="Times New Roman"/>
          <w:bCs/>
          <w:sz w:val="24"/>
          <w:szCs w:val="24"/>
          <w:lang w:val="ro-RO"/>
        </w:rPr>
        <w:t>comparabilitatea</w:t>
      </w:r>
      <w:r w:rsidRPr="00D54ECE">
        <w:rPr>
          <w:rFonts w:ascii="Times New Roman" w:hAnsi="Times New Roman" w:cs="Times New Roman"/>
          <w:bCs/>
          <w:sz w:val="24"/>
          <w:szCs w:val="24"/>
          <w:lang w:val="ro-RO"/>
        </w:rPr>
        <w:t xml:space="preserve"> </w:t>
      </w:r>
      <w:r w:rsidR="00427788" w:rsidRPr="00D54ECE">
        <w:rPr>
          <w:rFonts w:ascii="Times New Roman" w:hAnsi="Times New Roman" w:cs="Times New Roman"/>
          <w:bCs/>
          <w:sz w:val="24"/>
          <w:szCs w:val="24"/>
          <w:lang w:val="ro-RO"/>
        </w:rPr>
        <w:t xml:space="preserve">situațiilor </w:t>
      </w:r>
      <w:r w:rsidRPr="00D54ECE">
        <w:rPr>
          <w:rFonts w:ascii="Times New Roman" w:hAnsi="Times New Roman" w:cs="Times New Roman"/>
          <w:bCs/>
          <w:sz w:val="24"/>
          <w:szCs w:val="24"/>
          <w:lang w:val="ro-RO"/>
        </w:rPr>
        <w:t xml:space="preserve">financiare anuale.  </w:t>
      </w:r>
    </w:p>
    <w:p w14:paraId="67AD7DFD" w14:textId="77777777" w:rsidR="00FB7A61" w:rsidRPr="00FB7A61" w:rsidRDefault="00FB7A61" w:rsidP="00FB7A61">
      <w:pPr>
        <w:pStyle w:val="Listparagraf"/>
        <w:numPr>
          <w:ilvl w:val="0"/>
          <w:numId w:val="4"/>
        </w:numPr>
        <w:spacing w:before="120" w:after="120" w:line="240" w:lineRule="auto"/>
        <w:ind w:left="360" w:hanging="360"/>
        <w:contextualSpacing w:val="0"/>
        <w:jc w:val="both"/>
        <w:rPr>
          <w:rFonts w:ascii="Times New Roman" w:hAnsi="Times New Roman" w:cs="Times New Roman"/>
          <w:b/>
          <w:sz w:val="24"/>
          <w:szCs w:val="24"/>
          <w:lang w:val="ro-RO"/>
        </w:rPr>
      </w:pPr>
      <w:r w:rsidRPr="00FB7A61">
        <w:rPr>
          <w:rFonts w:ascii="Times New Roman" w:hAnsi="Times New Roman" w:cs="Times New Roman"/>
          <w:b/>
          <w:sz w:val="24"/>
          <w:szCs w:val="24"/>
          <w:lang w:val="ro-RO"/>
        </w:rPr>
        <w:t>Obiectivele Ghidului</w:t>
      </w:r>
    </w:p>
    <w:p w14:paraId="5CD90C06" w14:textId="157DF881" w:rsidR="00FB7A61" w:rsidRPr="00FB7A61" w:rsidRDefault="00FB7A61" w:rsidP="00FB7A61">
      <w:pPr>
        <w:pStyle w:val="Default"/>
        <w:spacing w:before="120"/>
        <w:jc w:val="both"/>
        <w:rPr>
          <w:rFonts w:ascii="Times New Roman" w:hAnsi="Times New Roman" w:cs="Times New Roman"/>
          <w:color w:val="auto"/>
        </w:rPr>
      </w:pPr>
      <w:r w:rsidRPr="00FB7A61">
        <w:rPr>
          <w:rFonts w:ascii="Times New Roman" w:hAnsi="Times New Roman" w:cs="Times New Roman"/>
          <w:color w:val="auto"/>
        </w:rPr>
        <w:t>Comunicarea interpretativă a Comisiei Europene 2020/C379/01</w:t>
      </w:r>
      <w:r w:rsidRPr="00FB7A61">
        <w:rPr>
          <w:rStyle w:val="Referinnotdesubsol"/>
          <w:rFonts w:ascii="Times New Roman" w:hAnsi="Times New Roman" w:cs="Times New Roman"/>
          <w:color w:val="auto"/>
        </w:rPr>
        <w:footnoteReference w:id="2"/>
      </w:r>
      <w:r w:rsidRPr="00FB7A61">
        <w:rPr>
          <w:rFonts w:ascii="Times New Roman" w:hAnsi="Times New Roman" w:cs="Times New Roman"/>
          <w:color w:val="auto"/>
        </w:rPr>
        <w:t xml:space="preserve"> prevede că legislația Uniunii </w:t>
      </w:r>
      <w:r w:rsidRPr="00751878">
        <w:rPr>
          <w:rFonts w:ascii="Times New Roman" w:hAnsi="Times New Roman" w:cs="Times New Roman"/>
          <w:color w:val="auto"/>
        </w:rPr>
        <w:t xml:space="preserve">impune auditorilor </w:t>
      </w:r>
      <w:r w:rsidRPr="00FB7A61">
        <w:rPr>
          <w:rFonts w:ascii="Times New Roman" w:hAnsi="Times New Roman" w:cs="Times New Roman"/>
          <w:color w:val="auto"/>
        </w:rPr>
        <w:t xml:space="preserve">să furnizeze o opinie de audit cu privire la conformitatea situațiilor financiare incluse în rapoartele financiare anuale cu cerințele statutare relevante prevăzute în Regulamentul </w:t>
      </w:r>
      <w:r w:rsidR="003C4E33" w:rsidRPr="003C4E33">
        <w:rPr>
          <w:rFonts w:ascii="Times New Roman" w:hAnsi="Times New Roman" w:cs="Times New Roman"/>
          <w:color w:val="auto"/>
        </w:rPr>
        <w:t xml:space="preserve">delegat </w:t>
      </w:r>
      <w:r w:rsidRPr="00FB7A61">
        <w:rPr>
          <w:rFonts w:ascii="Times New Roman" w:hAnsi="Times New Roman" w:cs="Times New Roman"/>
          <w:color w:val="auto"/>
        </w:rPr>
        <w:t>ESEF</w:t>
      </w:r>
      <w:r w:rsidRPr="00FB7A61">
        <w:rPr>
          <w:rStyle w:val="Referinnotdesubsol"/>
          <w:rFonts w:ascii="Times New Roman" w:hAnsi="Times New Roman" w:cs="Times New Roman"/>
          <w:color w:val="auto"/>
        </w:rPr>
        <w:footnoteReference w:id="3"/>
      </w:r>
      <w:r w:rsidRPr="00FB7A61">
        <w:rPr>
          <w:rFonts w:ascii="Times New Roman" w:hAnsi="Times New Roman" w:cs="Times New Roman"/>
          <w:color w:val="auto"/>
        </w:rPr>
        <w:t xml:space="preserve">, și anume cu dispozițiile Regulamentului </w:t>
      </w:r>
      <w:r w:rsidR="003C4E33" w:rsidRPr="003C4E33">
        <w:rPr>
          <w:rFonts w:ascii="Times New Roman" w:hAnsi="Times New Roman" w:cs="Times New Roman"/>
          <w:color w:val="auto"/>
        </w:rPr>
        <w:t xml:space="preserve">delegat </w:t>
      </w:r>
      <w:r w:rsidRPr="00FB7A61">
        <w:rPr>
          <w:rFonts w:ascii="Times New Roman" w:hAnsi="Times New Roman" w:cs="Times New Roman"/>
          <w:color w:val="auto"/>
        </w:rPr>
        <w:t>ESEF care se aplică situațiilor financiare</w:t>
      </w:r>
      <w:r w:rsidR="005D120C">
        <w:rPr>
          <w:rFonts w:ascii="Times New Roman" w:hAnsi="Times New Roman" w:cs="Times New Roman"/>
          <w:color w:val="auto"/>
        </w:rPr>
        <w:t xml:space="preserve"> </w:t>
      </w:r>
      <w:r w:rsidRPr="00FB7A61">
        <w:rPr>
          <w:rFonts w:ascii="Times New Roman" w:hAnsi="Times New Roman" w:cs="Times New Roman"/>
          <w:color w:val="auto"/>
        </w:rPr>
        <w:t>(</w:t>
      </w:r>
      <w:proofErr w:type="spellStart"/>
      <w:r w:rsidRPr="00FB7A61">
        <w:rPr>
          <w:rFonts w:ascii="Times New Roman" w:hAnsi="Times New Roman" w:cs="Times New Roman"/>
          <w:color w:val="auto"/>
        </w:rPr>
        <w:t>ref</w:t>
      </w:r>
      <w:proofErr w:type="spellEnd"/>
      <w:r w:rsidRPr="00FB7A61">
        <w:rPr>
          <w:rFonts w:ascii="Times New Roman" w:hAnsi="Times New Roman" w:cs="Times New Roman"/>
          <w:color w:val="auto"/>
        </w:rPr>
        <w:t>. Anexa 1 a prezentului document).</w:t>
      </w:r>
    </w:p>
    <w:p w14:paraId="6F012B2E" w14:textId="1078F1CE" w:rsidR="00FB7A61" w:rsidRPr="00FB7A61" w:rsidRDefault="00FB7A61" w:rsidP="00FB7A61">
      <w:pPr>
        <w:autoSpaceDE w:val="0"/>
        <w:autoSpaceDN w:val="0"/>
        <w:adjustRightInd w:val="0"/>
        <w:spacing w:before="120" w:after="0" w:line="240" w:lineRule="auto"/>
        <w:jc w:val="both"/>
        <w:rPr>
          <w:rFonts w:ascii="Times New Roman" w:hAnsi="Times New Roman" w:cs="Times New Roman"/>
          <w:sz w:val="24"/>
          <w:szCs w:val="24"/>
        </w:rPr>
      </w:pPr>
      <w:r w:rsidRPr="00FB7A61">
        <w:rPr>
          <w:rFonts w:ascii="Times New Roman" w:hAnsi="Times New Roman" w:cs="Times New Roman"/>
          <w:sz w:val="24"/>
          <w:szCs w:val="24"/>
        </w:rPr>
        <w:t xml:space="preserve">În absența unor standarde de audit </w:t>
      </w:r>
      <w:r w:rsidR="005D120C">
        <w:rPr>
          <w:rFonts w:ascii="Times New Roman" w:hAnsi="Times New Roman" w:cs="Times New Roman"/>
          <w:sz w:val="24"/>
          <w:szCs w:val="24"/>
        </w:rPr>
        <w:t xml:space="preserve">referitoare la </w:t>
      </w:r>
      <w:r w:rsidRPr="00FB7A61">
        <w:rPr>
          <w:rFonts w:ascii="Times New Roman" w:hAnsi="Times New Roman" w:cs="Times New Roman"/>
          <w:sz w:val="24"/>
          <w:szCs w:val="24"/>
        </w:rPr>
        <w:t xml:space="preserve">raportarea ESEF aplicabilă în întreaga Uniune Europeană, obiectivele acestui ghid sunt de a descrie </w:t>
      </w:r>
      <w:r w:rsidRPr="00FD56E1">
        <w:rPr>
          <w:rFonts w:ascii="Times New Roman" w:hAnsi="Times New Roman" w:cs="Times New Roman"/>
          <w:sz w:val="24"/>
          <w:szCs w:val="24"/>
        </w:rPr>
        <w:t>așteptările</w:t>
      </w:r>
      <w:r w:rsidRPr="00FB7A61">
        <w:rPr>
          <w:rFonts w:ascii="Times New Roman" w:hAnsi="Times New Roman" w:cs="Times New Roman"/>
          <w:sz w:val="24"/>
          <w:szCs w:val="24"/>
        </w:rPr>
        <w:t xml:space="preserve"> ASPAAS</w:t>
      </w:r>
      <w:r w:rsidRPr="00FB7A61">
        <w:rPr>
          <w:rFonts w:ascii="Times New Roman" w:hAnsi="Times New Roman" w:cs="Times New Roman"/>
          <w:sz w:val="24"/>
          <w:szCs w:val="24"/>
          <w:vertAlign w:val="superscript"/>
        </w:rPr>
        <w:footnoteReference w:id="4"/>
      </w:r>
      <w:r w:rsidRPr="00FB7A61">
        <w:rPr>
          <w:rFonts w:ascii="Times New Roman" w:hAnsi="Times New Roman" w:cs="Times New Roman"/>
          <w:sz w:val="24"/>
          <w:szCs w:val="24"/>
        </w:rPr>
        <w:t xml:space="preserve"> cu privire la:</w:t>
      </w:r>
    </w:p>
    <w:p w14:paraId="1AE2789A" w14:textId="77777777" w:rsidR="00FB7A61" w:rsidRPr="00FB7A61" w:rsidRDefault="00FB7A61" w:rsidP="00FB7A61">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sidRPr="00FB7A61">
        <w:rPr>
          <w:rFonts w:ascii="Times New Roman" w:hAnsi="Times New Roman" w:cs="Times New Roman"/>
          <w:sz w:val="24"/>
          <w:szCs w:val="24"/>
        </w:rPr>
        <w:t>procedurile care trebuie efectuate de auditori pentru a evalua dacă situațiile financiare incluse în raportul financiar anual respectă cerințele ESEF;</w:t>
      </w:r>
    </w:p>
    <w:p w14:paraId="7D396D34" w14:textId="77777777" w:rsidR="00FB7A61" w:rsidRPr="00FB7A61" w:rsidRDefault="00FB7A61" w:rsidP="00FB7A61">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sidRPr="00FB7A61">
        <w:rPr>
          <w:rFonts w:ascii="Times New Roman" w:hAnsi="Times New Roman" w:cs="Times New Roman"/>
          <w:sz w:val="24"/>
          <w:szCs w:val="24"/>
        </w:rPr>
        <w:t>consecințele oricăror denaturări identificate de auditori și</w:t>
      </w:r>
    </w:p>
    <w:p w14:paraId="1F1F6C1D" w14:textId="1C4F583D" w:rsidR="00FB7A61" w:rsidRPr="00FB7A61" w:rsidRDefault="00FB7A61" w:rsidP="00FB7A61">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sidRPr="00FB7A61">
        <w:rPr>
          <w:rFonts w:ascii="Times New Roman" w:hAnsi="Times New Roman" w:cs="Times New Roman"/>
          <w:sz w:val="24"/>
          <w:szCs w:val="24"/>
        </w:rPr>
        <w:t xml:space="preserve">forma și conținutul raportului de audit privind conformitatea situațiilor financiare </w:t>
      </w:r>
      <w:r w:rsidR="00064729">
        <w:rPr>
          <w:rFonts w:ascii="Times New Roman" w:hAnsi="Times New Roman" w:cs="Times New Roman"/>
          <w:sz w:val="24"/>
          <w:szCs w:val="24"/>
        </w:rPr>
        <w:t xml:space="preserve">anuale </w:t>
      </w:r>
      <w:r w:rsidRPr="00FB7A61">
        <w:rPr>
          <w:rFonts w:ascii="Times New Roman" w:hAnsi="Times New Roman" w:cs="Times New Roman"/>
          <w:sz w:val="24"/>
          <w:szCs w:val="24"/>
        </w:rPr>
        <w:t>cu cerințele ESEF.</w:t>
      </w:r>
    </w:p>
    <w:p w14:paraId="1BEAC8AB" w14:textId="32BA3684" w:rsidR="00FB7A61" w:rsidRDefault="00FB7A61" w:rsidP="00FB7A61">
      <w:pPr>
        <w:pStyle w:val="Default"/>
        <w:spacing w:before="120"/>
        <w:jc w:val="both"/>
        <w:rPr>
          <w:rFonts w:ascii="Times New Roman" w:hAnsi="Times New Roman" w:cs="Times New Roman"/>
          <w:color w:val="auto"/>
        </w:rPr>
      </w:pPr>
      <w:r w:rsidRPr="00033CE5">
        <w:rPr>
          <w:rFonts w:ascii="Times New Roman" w:hAnsi="Times New Roman" w:cs="Times New Roman"/>
          <w:color w:val="auto"/>
        </w:rPr>
        <w:t>Acest ghid evidențiază specificațiile care trebuie respectate de auditori în plus față de prevederile standardelor de audit.</w:t>
      </w:r>
      <w:r w:rsidRPr="00FB7A61">
        <w:rPr>
          <w:rFonts w:ascii="Times New Roman" w:hAnsi="Times New Roman" w:cs="Times New Roman"/>
          <w:color w:val="auto"/>
        </w:rPr>
        <w:t xml:space="preserve"> Ghidul se referă la și nu înlocuiește celelalte cerințe privind auditul și etica, inclusiv independența, aplicabile auditorilor financiari și firmelor de audit.</w:t>
      </w:r>
    </w:p>
    <w:p w14:paraId="5B476277" w14:textId="00DE5B44" w:rsidR="007656BF" w:rsidRPr="00F72FEB" w:rsidRDefault="007656BF" w:rsidP="005F28B4">
      <w:pPr>
        <w:autoSpaceDE w:val="0"/>
        <w:autoSpaceDN w:val="0"/>
        <w:adjustRightInd w:val="0"/>
        <w:spacing w:before="120" w:after="0" w:line="240" w:lineRule="auto"/>
        <w:jc w:val="both"/>
        <w:rPr>
          <w:rFonts w:ascii="Times New Roman" w:hAnsi="Times New Roman" w:cs="Times New Roman"/>
          <w:sz w:val="24"/>
          <w:szCs w:val="24"/>
        </w:rPr>
      </w:pPr>
      <w:r w:rsidRPr="005F28B4">
        <w:rPr>
          <w:rFonts w:ascii="Times New Roman" w:hAnsi="Times New Roman" w:cs="Times New Roman"/>
          <w:sz w:val="24"/>
          <w:szCs w:val="24"/>
        </w:rPr>
        <w:lastRenderedPageBreak/>
        <w:t xml:space="preserve">Acest ghid </w:t>
      </w:r>
      <w:r w:rsidR="009625A6" w:rsidRPr="005F28B4">
        <w:rPr>
          <w:rFonts w:ascii="Times New Roman" w:hAnsi="Times New Roman" w:cs="Times New Roman"/>
          <w:sz w:val="24"/>
          <w:szCs w:val="24"/>
        </w:rPr>
        <w:t xml:space="preserve">preia elementele prevăzute </w:t>
      </w:r>
      <w:r w:rsidRPr="005F28B4">
        <w:rPr>
          <w:rFonts w:ascii="Times New Roman" w:hAnsi="Times New Roman" w:cs="Times New Roman"/>
          <w:sz w:val="24"/>
          <w:szCs w:val="24"/>
        </w:rPr>
        <w:t>în</w:t>
      </w:r>
      <w:r w:rsidR="009625A6" w:rsidRPr="005F28B4">
        <w:rPr>
          <w:rFonts w:ascii="Times New Roman" w:hAnsi="Times New Roman" w:cs="Times New Roman"/>
          <w:sz w:val="24"/>
          <w:szCs w:val="24"/>
        </w:rPr>
        <w:t xml:space="preserve"> Ghidul privind </w:t>
      </w:r>
      <w:r w:rsidR="005F28B4" w:rsidRPr="005F28B4">
        <w:rPr>
          <w:rFonts w:ascii="Times New Roman" w:hAnsi="Times New Roman" w:cs="Times New Roman"/>
          <w:sz w:val="24"/>
          <w:szCs w:val="24"/>
        </w:rPr>
        <w:t xml:space="preserve">activitatea </w:t>
      </w:r>
      <w:r w:rsidR="009625A6" w:rsidRPr="005F28B4">
        <w:rPr>
          <w:rFonts w:ascii="Times New Roman" w:hAnsi="Times New Roman" w:cs="Times New Roman"/>
          <w:sz w:val="24"/>
          <w:szCs w:val="24"/>
        </w:rPr>
        <w:t xml:space="preserve">auditorilor </w:t>
      </w:r>
      <w:r w:rsidR="005F28B4" w:rsidRPr="005F28B4">
        <w:rPr>
          <w:rFonts w:ascii="Times New Roman" w:hAnsi="Times New Roman" w:cs="Times New Roman"/>
          <w:sz w:val="24"/>
          <w:szCs w:val="24"/>
        </w:rPr>
        <w:t xml:space="preserve">cu privire la </w:t>
      </w:r>
      <w:r w:rsidR="009625A6" w:rsidRPr="005F28B4">
        <w:rPr>
          <w:rFonts w:ascii="Times New Roman" w:hAnsi="Times New Roman" w:cs="Times New Roman"/>
          <w:sz w:val="24"/>
          <w:szCs w:val="24"/>
        </w:rPr>
        <w:t xml:space="preserve">în situațiile financiare în Formatul Electronic elaborat de CEAOB, </w:t>
      </w:r>
      <w:r w:rsidR="00494F84" w:rsidRPr="005F28B4">
        <w:rPr>
          <w:rFonts w:ascii="Times New Roman" w:hAnsi="Times New Roman" w:cs="Times New Roman"/>
          <w:sz w:val="24"/>
          <w:szCs w:val="24"/>
        </w:rPr>
        <w:t xml:space="preserve">adoptat </w:t>
      </w:r>
      <w:r w:rsidR="009625A6" w:rsidRPr="005F28B4">
        <w:rPr>
          <w:rFonts w:ascii="Times New Roman" w:hAnsi="Times New Roman" w:cs="Times New Roman"/>
          <w:sz w:val="24"/>
          <w:szCs w:val="24"/>
        </w:rPr>
        <w:t>în data de</w:t>
      </w:r>
      <w:r w:rsidR="00494F84" w:rsidRPr="005F28B4">
        <w:rPr>
          <w:rFonts w:ascii="Times New Roman" w:hAnsi="Times New Roman" w:cs="Times New Roman"/>
          <w:sz w:val="24"/>
          <w:szCs w:val="24"/>
        </w:rPr>
        <w:t xml:space="preserve"> 09.11.2021</w:t>
      </w:r>
      <w:r w:rsidR="00F72FEB" w:rsidRPr="005F28B4">
        <w:rPr>
          <w:rFonts w:ascii="Times New Roman" w:hAnsi="Times New Roman" w:cs="Times New Roman"/>
          <w:sz w:val="24"/>
          <w:szCs w:val="24"/>
        </w:rPr>
        <w:t>.</w:t>
      </w:r>
    </w:p>
    <w:p w14:paraId="3FCB778C" w14:textId="3E413045" w:rsidR="00FB7A61" w:rsidRPr="00FB7A61" w:rsidRDefault="00FB7A61" w:rsidP="00FB7A61">
      <w:pPr>
        <w:pStyle w:val="Listparagraf"/>
        <w:numPr>
          <w:ilvl w:val="0"/>
          <w:numId w:val="4"/>
        </w:numPr>
        <w:spacing w:before="120" w:after="120" w:line="240" w:lineRule="auto"/>
        <w:ind w:left="360" w:hanging="360"/>
        <w:contextualSpacing w:val="0"/>
        <w:jc w:val="both"/>
        <w:rPr>
          <w:rFonts w:ascii="Times New Roman" w:hAnsi="Times New Roman" w:cs="Times New Roman"/>
          <w:b/>
          <w:sz w:val="24"/>
          <w:szCs w:val="24"/>
          <w:lang w:val="ro-RO"/>
        </w:rPr>
      </w:pPr>
      <w:r w:rsidRPr="00216D26">
        <w:rPr>
          <w:rFonts w:ascii="Times New Roman" w:hAnsi="Times New Roman" w:cs="Times New Roman"/>
          <w:b/>
          <w:sz w:val="24"/>
          <w:szCs w:val="24"/>
          <w:lang w:val="ro-RO"/>
        </w:rPr>
        <w:t xml:space="preserve">Proceduri care urmează să fie efectuate de auditori cu privire la situațiile financiare </w:t>
      </w:r>
      <w:r w:rsidR="00064729">
        <w:rPr>
          <w:rFonts w:ascii="Times New Roman" w:hAnsi="Times New Roman" w:cs="Times New Roman"/>
          <w:b/>
          <w:sz w:val="24"/>
          <w:szCs w:val="24"/>
          <w:lang w:val="ro-RO"/>
        </w:rPr>
        <w:t xml:space="preserve">anuale </w:t>
      </w:r>
      <w:r w:rsidRPr="00216D26">
        <w:rPr>
          <w:rFonts w:ascii="Times New Roman" w:hAnsi="Times New Roman" w:cs="Times New Roman"/>
          <w:b/>
          <w:sz w:val="24"/>
          <w:szCs w:val="24"/>
          <w:lang w:val="ro-RO"/>
        </w:rPr>
        <w:t>în</w:t>
      </w:r>
      <w:r w:rsidRPr="00FB7A61">
        <w:rPr>
          <w:rFonts w:ascii="Times New Roman" w:hAnsi="Times New Roman" w:cs="Times New Roman"/>
          <w:b/>
          <w:sz w:val="24"/>
          <w:szCs w:val="24"/>
          <w:lang w:val="ro-RO"/>
        </w:rPr>
        <w:t xml:space="preserve"> format ESEF</w:t>
      </w:r>
    </w:p>
    <w:p w14:paraId="3615DAD8" w14:textId="5AC65C90" w:rsidR="00FB7A61" w:rsidRPr="00FB7A61" w:rsidRDefault="00FB7A61" w:rsidP="00FB7A61">
      <w:pPr>
        <w:pStyle w:val="Default"/>
        <w:spacing w:before="120"/>
        <w:jc w:val="both"/>
        <w:rPr>
          <w:rFonts w:ascii="Times New Roman" w:hAnsi="Times New Roman" w:cs="Times New Roman"/>
          <w:color w:val="auto"/>
        </w:rPr>
      </w:pPr>
      <w:r w:rsidRPr="00A60187">
        <w:rPr>
          <w:rFonts w:ascii="Times New Roman" w:hAnsi="Times New Roman" w:cs="Times New Roman"/>
          <w:b/>
          <w:bCs/>
          <w:color w:val="auto"/>
        </w:rPr>
        <w:t>A - Planificarea activității auditorilor</w:t>
      </w:r>
    </w:p>
    <w:p w14:paraId="05C18D41" w14:textId="77777777" w:rsidR="00FB7A61" w:rsidRPr="00FB7A61" w:rsidRDefault="00FB7A61" w:rsidP="00FB7A61">
      <w:pPr>
        <w:pStyle w:val="Default"/>
        <w:spacing w:before="120"/>
        <w:jc w:val="both"/>
        <w:rPr>
          <w:rFonts w:ascii="Times New Roman" w:hAnsi="Times New Roman" w:cs="Times New Roman"/>
          <w:color w:val="auto"/>
        </w:rPr>
      </w:pPr>
      <w:r w:rsidRPr="00FB7A61">
        <w:rPr>
          <w:rFonts w:ascii="Times New Roman" w:hAnsi="Times New Roman" w:cs="Times New Roman"/>
          <w:color w:val="auto"/>
        </w:rPr>
        <w:t>1. Auditorii trebuie să planifice procedurile care trebuie efectuate luând în considerare următoarele aspecte:</w:t>
      </w:r>
    </w:p>
    <w:p w14:paraId="6D54A404" w14:textId="1CAE26AE" w:rsidR="00FB7A61" w:rsidRPr="00FB7A61" w:rsidRDefault="00FB7A61" w:rsidP="00420D3F">
      <w:pPr>
        <w:pStyle w:val="Default"/>
        <w:numPr>
          <w:ilvl w:val="0"/>
          <w:numId w:val="17"/>
        </w:numPr>
        <w:ind w:left="274" w:hanging="274"/>
        <w:jc w:val="both"/>
        <w:rPr>
          <w:rFonts w:ascii="Times New Roman" w:hAnsi="Times New Roman" w:cs="Times New Roman"/>
          <w:color w:val="auto"/>
        </w:rPr>
      </w:pPr>
      <w:r w:rsidRPr="00FB7A61">
        <w:rPr>
          <w:rFonts w:ascii="Times New Roman" w:hAnsi="Times New Roman" w:cs="Times New Roman"/>
          <w:color w:val="auto"/>
        </w:rPr>
        <w:t xml:space="preserve">caracteristicile situațiilor financiare </w:t>
      </w:r>
      <w:r w:rsidR="00FB212C">
        <w:rPr>
          <w:rFonts w:ascii="Times New Roman" w:hAnsi="Times New Roman" w:cs="Times New Roman"/>
          <w:color w:val="auto"/>
        </w:rPr>
        <w:t xml:space="preserve">anuale </w:t>
      </w:r>
      <w:r w:rsidRPr="00FB7A61">
        <w:rPr>
          <w:rFonts w:ascii="Times New Roman" w:hAnsi="Times New Roman" w:cs="Times New Roman"/>
          <w:color w:val="auto"/>
        </w:rPr>
        <w:t>întocmite în format ESEF,</w:t>
      </w:r>
    </w:p>
    <w:p w14:paraId="63253080" w14:textId="1593887F" w:rsidR="00FB7A61" w:rsidRPr="00FB7A61" w:rsidRDefault="00FB7A61" w:rsidP="00420D3F">
      <w:pPr>
        <w:pStyle w:val="Default"/>
        <w:numPr>
          <w:ilvl w:val="0"/>
          <w:numId w:val="17"/>
        </w:numPr>
        <w:ind w:left="274" w:hanging="274"/>
        <w:jc w:val="both"/>
        <w:rPr>
          <w:rFonts w:ascii="Times New Roman" w:hAnsi="Times New Roman" w:cs="Times New Roman"/>
          <w:color w:val="auto"/>
        </w:rPr>
      </w:pPr>
      <w:r w:rsidRPr="00FB7A61">
        <w:rPr>
          <w:rFonts w:ascii="Times New Roman" w:hAnsi="Times New Roman" w:cs="Times New Roman"/>
          <w:color w:val="auto"/>
        </w:rPr>
        <w:t xml:space="preserve">termenele care trebuie respectate pentru efectuarea procedurilor privind situațiile financiare </w:t>
      </w:r>
      <w:r w:rsidR="000B5861">
        <w:rPr>
          <w:rFonts w:ascii="Times New Roman" w:hAnsi="Times New Roman" w:cs="Times New Roman"/>
          <w:color w:val="auto"/>
        </w:rPr>
        <w:t xml:space="preserve">anuale </w:t>
      </w:r>
      <w:r w:rsidRPr="00FB7A61">
        <w:rPr>
          <w:rFonts w:ascii="Times New Roman" w:hAnsi="Times New Roman" w:cs="Times New Roman"/>
          <w:color w:val="auto"/>
        </w:rPr>
        <w:t>în format ESEF, și</w:t>
      </w:r>
    </w:p>
    <w:p w14:paraId="24C292DE" w14:textId="1E0316F7" w:rsidR="00FB7A61" w:rsidRPr="00FB7A61" w:rsidRDefault="00FB7A61" w:rsidP="00420D3F">
      <w:pPr>
        <w:pStyle w:val="Default"/>
        <w:numPr>
          <w:ilvl w:val="0"/>
          <w:numId w:val="17"/>
        </w:numPr>
        <w:ind w:left="274" w:hanging="274"/>
        <w:jc w:val="both"/>
        <w:rPr>
          <w:rFonts w:ascii="Times New Roman" w:hAnsi="Times New Roman" w:cs="Times New Roman"/>
          <w:color w:val="auto"/>
        </w:rPr>
      </w:pPr>
      <w:r w:rsidRPr="00FB7A61">
        <w:rPr>
          <w:rFonts w:ascii="Times New Roman" w:hAnsi="Times New Roman" w:cs="Times New Roman"/>
          <w:color w:val="auto"/>
        </w:rPr>
        <w:t xml:space="preserve">procesul pus în aplicare de entitate pentru întocmirea situațiilor financiare </w:t>
      </w:r>
      <w:r w:rsidR="000B5861">
        <w:rPr>
          <w:rFonts w:ascii="Times New Roman" w:hAnsi="Times New Roman" w:cs="Times New Roman"/>
          <w:color w:val="auto"/>
        </w:rPr>
        <w:t xml:space="preserve">anuale </w:t>
      </w:r>
      <w:r w:rsidRPr="00FB7A61">
        <w:rPr>
          <w:rFonts w:ascii="Times New Roman" w:hAnsi="Times New Roman" w:cs="Times New Roman"/>
          <w:color w:val="auto"/>
        </w:rPr>
        <w:t>în format ESEF (</w:t>
      </w:r>
      <w:proofErr w:type="spellStart"/>
      <w:r w:rsidRPr="00FB7A61">
        <w:rPr>
          <w:rFonts w:ascii="Times New Roman" w:hAnsi="Times New Roman" w:cs="Times New Roman"/>
          <w:color w:val="auto"/>
        </w:rPr>
        <w:t>ref</w:t>
      </w:r>
      <w:proofErr w:type="spellEnd"/>
      <w:r w:rsidRPr="00FB7A61">
        <w:rPr>
          <w:rFonts w:ascii="Times New Roman" w:hAnsi="Times New Roman" w:cs="Times New Roman"/>
          <w:color w:val="auto"/>
        </w:rPr>
        <w:t>. punctul 2).</w:t>
      </w:r>
    </w:p>
    <w:p w14:paraId="5C9B5283" w14:textId="6FEC1AE8" w:rsidR="00685ACF" w:rsidRPr="00473740" w:rsidRDefault="00685ACF" w:rsidP="00685ACF">
      <w:pPr>
        <w:pStyle w:val="Default"/>
        <w:spacing w:before="120"/>
        <w:jc w:val="both"/>
        <w:rPr>
          <w:rFonts w:ascii="Times New Roman" w:hAnsi="Times New Roman" w:cs="Times New Roman"/>
          <w:b/>
          <w:bCs/>
          <w:color w:val="auto"/>
        </w:rPr>
      </w:pPr>
      <w:r w:rsidRPr="00473740">
        <w:rPr>
          <w:rFonts w:ascii="Times New Roman" w:hAnsi="Times New Roman" w:cs="Times New Roman"/>
          <w:b/>
          <w:bCs/>
          <w:color w:val="auto"/>
        </w:rPr>
        <w:t xml:space="preserve">B - Înțelegerea procesului de întocmire a situațiilor financiare </w:t>
      </w:r>
      <w:r w:rsidR="00FB212C">
        <w:rPr>
          <w:rFonts w:ascii="Times New Roman" w:hAnsi="Times New Roman" w:cs="Times New Roman"/>
          <w:b/>
          <w:bCs/>
          <w:color w:val="auto"/>
        </w:rPr>
        <w:t xml:space="preserve">anuale </w:t>
      </w:r>
      <w:r w:rsidRPr="00473740">
        <w:rPr>
          <w:rFonts w:ascii="Times New Roman" w:hAnsi="Times New Roman" w:cs="Times New Roman"/>
          <w:b/>
          <w:bCs/>
          <w:color w:val="auto"/>
        </w:rPr>
        <w:t xml:space="preserve">în format ESEF și a controalelor aferente </w:t>
      </w:r>
    </w:p>
    <w:p w14:paraId="448A0542" w14:textId="55419018" w:rsidR="00420D3F" w:rsidRPr="00420D3F"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420D3F">
        <w:rPr>
          <w:rFonts w:ascii="Times New Roman" w:hAnsi="Times New Roman" w:cs="Times New Roman"/>
          <w:sz w:val="24"/>
          <w:szCs w:val="24"/>
        </w:rPr>
        <w:t xml:space="preserve">2. Referitor </w:t>
      </w:r>
      <w:r w:rsidR="000E31EF">
        <w:rPr>
          <w:rFonts w:ascii="Times New Roman" w:hAnsi="Times New Roman" w:cs="Times New Roman"/>
          <w:sz w:val="24"/>
          <w:szCs w:val="24"/>
        </w:rPr>
        <w:t xml:space="preserve">la </w:t>
      </w:r>
      <w:r w:rsidRPr="00420D3F">
        <w:rPr>
          <w:rFonts w:ascii="Times New Roman" w:hAnsi="Times New Roman" w:cs="Times New Roman"/>
          <w:sz w:val="24"/>
          <w:szCs w:val="24"/>
        </w:rPr>
        <w:t>întocmirea situațiilor financiare</w:t>
      </w:r>
      <w:r w:rsidR="000B5861">
        <w:rPr>
          <w:rFonts w:ascii="Times New Roman" w:hAnsi="Times New Roman" w:cs="Times New Roman"/>
          <w:sz w:val="24"/>
          <w:szCs w:val="24"/>
        </w:rPr>
        <w:t xml:space="preserve"> anuale</w:t>
      </w:r>
      <w:r w:rsidRPr="00420D3F">
        <w:rPr>
          <w:rFonts w:ascii="Times New Roman" w:hAnsi="Times New Roman" w:cs="Times New Roman"/>
          <w:sz w:val="24"/>
          <w:szCs w:val="24"/>
        </w:rPr>
        <w:t xml:space="preserve"> în format ESEF, auditorii trebuie să înțeleagă, în special, următoarele:</w:t>
      </w:r>
    </w:p>
    <w:p w14:paraId="7DF87F87" w14:textId="71342C39" w:rsidR="00420D3F" w:rsidRPr="00420D3F" w:rsidRDefault="00420D3F" w:rsidP="00420D3F">
      <w:pPr>
        <w:pStyle w:val="Default"/>
        <w:numPr>
          <w:ilvl w:val="0"/>
          <w:numId w:val="17"/>
        </w:numPr>
        <w:ind w:left="274" w:hanging="274"/>
        <w:jc w:val="both"/>
        <w:rPr>
          <w:rFonts w:ascii="Times New Roman" w:hAnsi="Times New Roman" w:cs="Times New Roman"/>
          <w:color w:val="auto"/>
        </w:rPr>
      </w:pPr>
      <w:r w:rsidRPr="00420D3F">
        <w:rPr>
          <w:rFonts w:ascii="Times New Roman" w:hAnsi="Times New Roman" w:cs="Times New Roman"/>
          <w:color w:val="auto"/>
        </w:rPr>
        <w:t xml:space="preserve">procesul de întocmire a situațiilor financiare în format ESEF, inclusiv utilizarea resurselor tehnice (de exemplu, instrumente IT) și </w:t>
      </w:r>
      <w:r w:rsidR="000E31EF">
        <w:rPr>
          <w:rFonts w:ascii="Times New Roman" w:hAnsi="Times New Roman" w:cs="Times New Roman"/>
          <w:color w:val="auto"/>
        </w:rPr>
        <w:t xml:space="preserve">a resurselor </w:t>
      </w:r>
      <w:r w:rsidRPr="00420D3F">
        <w:rPr>
          <w:rFonts w:ascii="Times New Roman" w:hAnsi="Times New Roman" w:cs="Times New Roman"/>
          <w:color w:val="auto"/>
        </w:rPr>
        <w:t>umane și dacă entitatea externalizează parțial sau total întocmirea acestor situații către un furnizor de servicii</w:t>
      </w:r>
      <w:r w:rsidR="00CF3C7B">
        <w:rPr>
          <w:rFonts w:ascii="Times New Roman" w:hAnsi="Times New Roman" w:cs="Times New Roman"/>
          <w:color w:val="auto"/>
        </w:rPr>
        <w:t>,</w:t>
      </w:r>
      <w:r w:rsidRPr="00420D3F">
        <w:rPr>
          <w:rFonts w:ascii="Times New Roman" w:hAnsi="Times New Roman" w:cs="Times New Roman"/>
          <w:color w:val="auto"/>
        </w:rPr>
        <w:t xml:space="preserve"> sau dacă folosește </w:t>
      </w:r>
      <w:r w:rsidR="00CF3C7B">
        <w:rPr>
          <w:rFonts w:ascii="Times New Roman" w:hAnsi="Times New Roman" w:cs="Times New Roman"/>
          <w:color w:val="auto"/>
        </w:rPr>
        <w:t xml:space="preserve">munca </w:t>
      </w:r>
      <w:r w:rsidRPr="00420D3F">
        <w:rPr>
          <w:rFonts w:ascii="Times New Roman" w:hAnsi="Times New Roman" w:cs="Times New Roman"/>
          <w:color w:val="auto"/>
        </w:rPr>
        <w:t>un</w:t>
      </w:r>
      <w:r w:rsidR="00CF3C7B">
        <w:rPr>
          <w:rFonts w:ascii="Times New Roman" w:hAnsi="Times New Roman" w:cs="Times New Roman"/>
          <w:color w:val="auto"/>
        </w:rPr>
        <w:t>ui</w:t>
      </w:r>
      <w:r w:rsidRPr="00420D3F">
        <w:rPr>
          <w:rFonts w:ascii="Times New Roman" w:hAnsi="Times New Roman" w:cs="Times New Roman"/>
          <w:color w:val="auto"/>
        </w:rPr>
        <w:t xml:space="preserve"> expert </w:t>
      </w:r>
      <w:r w:rsidR="00CF3C7B">
        <w:rPr>
          <w:rFonts w:ascii="Times New Roman" w:hAnsi="Times New Roman" w:cs="Times New Roman"/>
          <w:color w:val="auto"/>
        </w:rPr>
        <w:t>propus de</w:t>
      </w:r>
      <w:r w:rsidRPr="00420D3F">
        <w:rPr>
          <w:rFonts w:ascii="Times New Roman" w:hAnsi="Times New Roman" w:cs="Times New Roman"/>
          <w:color w:val="auto"/>
        </w:rPr>
        <w:t xml:space="preserve"> conducer</w:t>
      </w:r>
      <w:r w:rsidR="00CF3C7B">
        <w:rPr>
          <w:rFonts w:ascii="Times New Roman" w:hAnsi="Times New Roman" w:cs="Times New Roman"/>
          <w:color w:val="auto"/>
        </w:rPr>
        <w:t>ea entității,</w:t>
      </w:r>
      <w:r w:rsidRPr="00420D3F">
        <w:rPr>
          <w:rFonts w:ascii="Times New Roman" w:hAnsi="Times New Roman" w:cs="Times New Roman"/>
          <w:color w:val="auto"/>
        </w:rPr>
        <w:t xml:space="preserve"> și</w:t>
      </w:r>
    </w:p>
    <w:p w14:paraId="414153FB" w14:textId="36E01749" w:rsidR="00420D3F" w:rsidRPr="00420D3F" w:rsidRDefault="00420D3F" w:rsidP="00420D3F">
      <w:pPr>
        <w:pStyle w:val="Default"/>
        <w:numPr>
          <w:ilvl w:val="0"/>
          <w:numId w:val="17"/>
        </w:numPr>
        <w:ind w:left="274" w:hanging="274"/>
        <w:jc w:val="both"/>
        <w:rPr>
          <w:rFonts w:ascii="Times New Roman" w:hAnsi="Times New Roman" w:cs="Times New Roman"/>
          <w:color w:val="auto"/>
        </w:rPr>
      </w:pPr>
      <w:r w:rsidRPr="00420D3F">
        <w:rPr>
          <w:rFonts w:ascii="Times New Roman" w:hAnsi="Times New Roman" w:cs="Times New Roman"/>
          <w:color w:val="auto"/>
        </w:rPr>
        <w:t>controalele concepute și implementate de entitate pentru a preveni, detecta sau corecta denaturări la întocmirea situațiilor financiare în format ESEF.</w:t>
      </w:r>
    </w:p>
    <w:p w14:paraId="5D14240F" w14:textId="7D8C19AB" w:rsidR="00420D3F" w:rsidRPr="00420D3F"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420D3F">
        <w:rPr>
          <w:rFonts w:ascii="Times New Roman" w:hAnsi="Times New Roman" w:cs="Times New Roman"/>
          <w:b/>
          <w:bCs/>
          <w:sz w:val="24"/>
          <w:szCs w:val="24"/>
        </w:rPr>
        <w:t>C - Proceduri referitoare la formatul XHTML</w:t>
      </w:r>
      <w:r w:rsidR="00ED79B4">
        <w:rPr>
          <w:rStyle w:val="Referinnotdesubsol"/>
          <w:rFonts w:ascii="Times New Roman" w:hAnsi="Times New Roman" w:cs="Times New Roman"/>
          <w:b/>
          <w:bCs/>
          <w:sz w:val="24"/>
          <w:szCs w:val="24"/>
        </w:rPr>
        <w:footnoteReference w:id="5"/>
      </w:r>
      <w:r w:rsidRPr="00420D3F">
        <w:rPr>
          <w:rFonts w:ascii="Times New Roman" w:hAnsi="Times New Roman" w:cs="Times New Roman"/>
          <w:b/>
          <w:bCs/>
          <w:sz w:val="24"/>
          <w:szCs w:val="24"/>
        </w:rPr>
        <w:t xml:space="preserve"> </w:t>
      </w:r>
    </w:p>
    <w:p w14:paraId="27E2D22F" w14:textId="77777777" w:rsidR="00420D3F" w:rsidRPr="00420D3F"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420D3F">
        <w:rPr>
          <w:rFonts w:ascii="Times New Roman" w:hAnsi="Times New Roman" w:cs="Times New Roman"/>
          <w:sz w:val="24"/>
          <w:szCs w:val="24"/>
        </w:rPr>
        <w:t xml:space="preserve">3. </w:t>
      </w:r>
      <w:r w:rsidRPr="00A60187">
        <w:rPr>
          <w:rFonts w:ascii="Times New Roman" w:hAnsi="Times New Roman" w:cs="Times New Roman"/>
          <w:sz w:val="24"/>
          <w:szCs w:val="24"/>
        </w:rPr>
        <w:t>Auditorii trebuie să verifice dacă toate situațiile financiare incluse în raportul financiar anual sunt întocmite în format XHTML.</w:t>
      </w:r>
    </w:p>
    <w:p w14:paraId="43A619A2" w14:textId="33B10D62" w:rsidR="00420D3F" w:rsidRPr="00420D3F"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420D3F">
        <w:rPr>
          <w:rFonts w:ascii="Times New Roman" w:hAnsi="Times New Roman" w:cs="Times New Roman"/>
          <w:sz w:val="24"/>
          <w:szCs w:val="24"/>
        </w:rPr>
        <w:t xml:space="preserve">4. În cazurile în care entitatea furnizează auditorilor situații financiare </w:t>
      </w:r>
      <w:r w:rsidR="00167534">
        <w:rPr>
          <w:rFonts w:ascii="Times New Roman" w:hAnsi="Times New Roman" w:cs="Times New Roman"/>
          <w:sz w:val="24"/>
          <w:szCs w:val="24"/>
        </w:rPr>
        <w:t xml:space="preserve">anuale </w:t>
      </w:r>
      <w:r w:rsidRPr="00420D3F">
        <w:rPr>
          <w:rFonts w:ascii="Times New Roman" w:hAnsi="Times New Roman" w:cs="Times New Roman"/>
          <w:sz w:val="24"/>
          <w:szCs w:val="24"/>
        </w:rPr>
        <w:t xml:space="preserve">care nu sunt întocmite în conformitate cu cerințele ESEF în scopuri de audit și, ulterior, furnizează situațiile financiare în format ESEF, auditorii trebuie să verifice reconcilierea dintre aceste două seturi de informații (situații financiare în format XHTML și versiunea auditată) pentru a </w:t>
      </w:r>
      <w:r w:rsidRPr="00AA2519">
        <w:rPr>
          <w:rFonts w:ascii="Times New Roman" w:hAnsi="Times New Roman" w:cs="Times New Roman"/>
          <w:sz w:val="24"/>
          <w:szCs w:val="24"/>
        </w:rPr>
        <w:t xml:space="preserve">verifica </w:t>
      </w:r>
      <w:r w:rsidR="00AA2519" w:rsidRPr="00AA2519">
        <w:rPr>
          <w:rFonts w:ascii="Times New Roman" w:hAnsi="Times New Roman" w:cs="Times New Roman"/>
          <w:sz w:val="24"/>
          <w:szCs w:val="24"/>
        </w:rPr>
        <w:t xml:space="preserve">dacă există între acestea o </w:t>
      </w:r>
      <w:r w:rsidR="00AC010C" w:rsidRPr="00AA2519">
        <w:rPr>
          <w:rFonts w:ascii="Times New Roman" w:hAnsi="Times New Roman" w:cs="Times New Roman"/>
          <w:sz w:val="24"/>
          <w:szCs w:val="24"/>
        </w:rPr>
        <w:t>aliniere</w:t>
      </w:r>
      <w:r w:rsidR="00AA2519" w:rsidRPr="00AA2519">
        <w:rPr>
          <w:rFonts w:ascii="Times New Roman" w:hAnsi="Times New Roman" w:cs="Times New Roman"/>
          <w:sz w:val="24"/>
          <w:szCs w:val="24"/>
        </w:rPr>
        <w:t xml:space="preserve"> </w:t>
      </w:r>
      <w:r w:rsidRPr="00AA2519">
        <w:rPr>
          <w:rFonts w:ascii="Times New Roman" w:hAnsi="Times New Roman" w:cs="Times New Roman"/>
          <w:sz w:val="24"/>
          <w:szCs w:val="24"/>
        </w:rPr>
        <w:t>completă.</w:t>
      </w:r>
    </w:p>
    <w:p w14:paraId="606AABA7" w14:textId="11BF7DEB" w:rsidR="00420D3F" w:rsidRPr="007D754E" w:rsidRDefault="00420D3F" w:rsidP="00420D3F">
      <w:pPr>
        <w:autoSpaceDE w:val="0"/>
        <w:autoSpaceDN w:val="0"/>
        <w:adjustRightInd w:val="0"/>
        <w:spacing w:before="120" w:after="0" w:line="240" w:lineRule="auto"/>
        <w:jc w:val="both"/>
        <w:rPr>
          <w:rFonts w:ascii="Times New Roman" w:hAnsi="Times New Roman" w:cs="Times New Roman"/>
          <w:b/>
          <w:bCs/>
          <w:sz w:val="24"/>
          <w:szCs w:val="24"/>
        </w:rPr>
      </w:pPr>
      <w:r w:rsidRPr="00A60187">
        <w:rPr>
          <w:rFonts w:ascii="Times New Roman" w:hAnsi="Times New Roman" w:cs="Times New Roman"/>
          <w:b/>
          <w:bCs/>
          <w:sz w:val="24"/>
          <w:szCs w:val="24"/>
        </w:rPr>
        <w:t>D - Proceduri referitoare la marcare</w:t>
      </w:r>
      <w:r w:rsidRPr="007D754E">
        <w:rPr>
          <w:rFonts w:ascii="Times New Roman" w:hAnsi="Times New Roman" w:cs="Times New Roman"/>
          <w:b/>
          <w:bCs/>
          <w:sz w:val="24"/>
          <w:szCs w:val="24"/>
        </w:rPr>
        <w:t xml:space="preserve"> </w:t>
      </w:r>
    </w:p>
    <w:p w14:paraId="1FB1D4F2" w14:textId="2C9226CC"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A60187">
        <w:rPr>
          <w:rFonts w:ascii="Times New Roman" w:hAnsi="Times New Roman" w:cs="Times New Roman"/>
          <w:sz w:val="24"/>
          <w:szCs w:val="24"/>
        </w:rPr>
        <w:t xml:space="preserve">5. Auditorii trebuie să efectueze proceduri pentru a obține probe de audit suficiente și adecvate </w:t>
      </w:r>
      <w:r w:rsidR="00344021" w:rsidRPr="00A60187">
        <w:rPr>
          <w:rFonts w:ascii="Times New Roman" w:hAnsi="Times New Roman" w:cs="Times New Roman"/>
          <w:sz w:val="24"/>
          <w:szCs w:val="24"/>
        </w:rPr>
        <w:t xml:space="preserve">din </w:t>
      </w:r>
      <w:r w:rsidR="00C3528A" w:rsidRPr="00A60187">
        <w:rPr>
          <w:rFonts w:ascii="Times New Roman" w:hAnsi="Times New Roman" w:cs="Times New Roman"/>
          <w:sz w:val="24"/>
          <w:szCs w:val="24"/>
        </w:rPr>
        <w:t>care s</w:t>
      </w:r>
      <w:r w:rsidR="00344021" w:rsidRPr="00A60187">
        <w:rPr>
          <w:rFonts w:ascii="Times New Roman" w:hAnsi="Times New Roman" w:cs="Times New Roman"/>
          <w:sz w:val="24"/>
          <w:szCs w:val="24"/>
        </w:rPr>
        <w:t>ă</w:t>
      </w:r>
      <w:r w:rsidR="00C3528A" w:rsidRPr="00A60187">
        <w:rPr>
          <w:rFonts w:ascii="Times New Roman" w:hAnsi="Times New Roman" w:cs="Times New Roman"/>
          <w:sz w:val="24"/>
          <w:szCs w:val="24"/>
        </w:rPr>
        <w:t xml:space="preserve"> re</w:t>
      </w:r>
      <w:r w:rsidR="00344021" w:rsidRPr="00A60187">
        <w:rPr>
          <w:rFonts w:ascii="Times New Roman" w:hAnsi="Times New Roman" w:cs="Times New Roman"/>
          <w:sz w:val="24"/>
          <w:szCs w:val="24"/>
        </w:rPr>
        <w:t>iasă</w:t>
      </w:r>
      <w:r w:rsidR="00C3528A" w:rsidRPr="00A60187">
        <w:rPr>
          <w:rFonts w:ascii="Times New Roman" w:hAnsi="Times New Roman" w:cs="Times New Roman"/>
          <w:sz w:val="24"/>
          <w:szCs w:val="24"/>
        </w:rPr>
        <w:t xml:space="preserve"> că au fost respectate</w:t>
      </w:r>
      <w:r w:rsidR="00C3528A" w:rsidRPr="00A60187" w:rsidDel="00C3528A">
        <w:rPr>
          <w:rFonts w:ascii="Times New Roman" w:hAnsi="Times New Roman" w:cs="Times New Roman"/>
          <w:sz w:val="24"/>
          <w:szCs w:val="24"/>
        </w:rPr>
        <w:t xml:space="preserve"> </w:t>
      </w:r>
      <w:r w:rsidRPr="00A60187">
        <w:rPr>
          <w:rFonts w:ascii="Times New Roman" w:hAnsi="Times New Roman" w:cs="Times New Roman"/>
          <w:sz w:val="24"/>
          <w:szCs w:val="24"/>
        </w:rPr>
        <w:t xml:space="preserve">cerințele privind marcarea </w:t>
      </w:r>
      <w:r w:rsidR="00175D86" w:rsidRPr="00A60187">
        <w:rPr>
          <w:rFonts w:ascii="Times New Roman" w:hAnsi="Times New Roman" w:cs="Times New Roman"/>
          <w:sz w:val="24"/>
          <w:szCs w:val="24"/>
        </w:rPr>
        <w:t>informațiilor</w:t>
      </w:r>
      <w:r w:rsidR="00AE5AE2" w:rsidRPr="00A60187">
        <w:rPr>
          <w:rFonts w:ascii="Times New Roman" w:hAnsi="Times New Roman" w:cs="Times New Roman"/>
          <w:sz w:val="24"/>
          <w:szCs w:val="24"/>
        </w:rPr>
        <w:t>,</w:t>
      </w:r>
      <w:r w:rsidR="00175D86" w:rsidRPr="00A60187">
        <w:rPr>
          <w:rFonts w:ascii="Times New Roman" w:hAnsi="Times New Roman" w:cs="Times New Roman"/>
          <w:sz w:val="24"/>
          <w:szCs w:val="24"/>
        </w:rPr>
        <w:t xml:space="preserve"> </w:t>
      </w:r>
      <w:r w:rsidRPr="00A60187">
        <w:rPr>
          <w:rFonts w:ascii="Times New Roman" w:hAnsi="Times New Roman" w:cs="Times New Roman"/>
          <w:sz w:val="24"/>
          <w:szCs w:val="24"/>
        </w:rPr>
        <w:t xml:space="preserve">definite de </w:t>
      </w:r>
      <w:r w:rsidR="003F653F" w:rsidRPr="00A60187">
        <w:rPr>
          <w:rFonts w:ascii="Times New Roman" w:hAnsi="Times New Roman" w:cs="Times New Roman"/>
          <w:sz w:val="24"/>
          <w:szCs w:val="24"/>
        </w:rPr>
        <w:t>R</w:t>
      </w:r>
      <w:r w:rsidRPr="00A60187">
        <w:rPr>
          <w:rFonts w:ascii="Times New Roman" w:hAnsi="Times New Roman" w:cs="Times New Roman"/>
          <w:sz w:val="24"/>
          <w:szCs w:val="24"/>
        </w:rPr>
        <w:t xml:space="preserve">egulamentul </w:t>
      </w:r>
      <w:r w:rsidR="003C4E33" w:rsidRPr="00A60187">
        <w:rPr>
          <w:rFonts w:ascii="Times New Roman" w:hAnsi="Times New Roman" w:cs="Times New Roman"/>
          <w:sz w:val="24"/>
          <w:szCs w:val="24"/>
        </w:rPr>
        <w:t xml:space="preserve">delegat </w:t>
      </w:r>
      <w:r w:rsidRPr="00A60187">
        <w:rPr>
          <w:rFonts w:ascii="Times New Roman" w:hAnsi="Times New Roman" w:cs="Times New Roman"/>
          <w:sz w:val="24"/>
          <w:szCs w:val="24"/>
        </w:rPr>
        <w:t>ESEF.</w:t>
      </w:r>
    </w:p>
    <w:p w14:paraId="19BB711B" w14:textId="77777777"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7D754E">
        <w:rPr>
          <w:rFonts w:ascii="Times New Roman" w:hAnsi="Times New Roman" w:cs="Times New Roman"/>
          <w:i/>
          <w:iCs/>
          <w:sz w:val="24"/>
          <w:szCs w:val="24"/>
        </w:rPr>
        <w:t>Pragul de semnificație</w:t>
      </w:r>
    </w:p>
    <w:p w14:paraId="0907E360" w14:textId="77777777" w:rsidR="00420D3F" w:rsidRPr="007D754E" w:rsidRDefault="00420D3F" w:rsidP="00420D3F">
      <w:pPr>
        <w:spacing w:before="120" w:after="0" w:line="240" w:lineRule="auto"/>
        <w:jc w:val="both"/>
        <w:rPr>
          <w:rFonts w:ascii="Times New Roman" w:hAnsi="Times New Roman" w:cs="Times New Roman"/>
          <w:sz w:val="24"/>
          <w:szCs w:val="24"/>
        </w:rPr>
      </w:pPr>
      <w:r w:rsidRPr="007D754E">
        <w:rPr>
          <w:rFonts w:ascii="Times New Roman" w:hAnsi="Times New Roman" w:cs="Times New Roman"/>
          <w:sz w:val="24"/>
          <w:szCs w:val="24"/>
        </w:rPr>
        <w:t>6. Auditorii trebuie să utilizeze un nivel adecvat al pragului de semnificație atunci când:</w:t>
      </w:r>
    </w:p>
    <w:p w14:paraId="0EAA8D47" w14:textId="0B38F542" w:rsidR="00420D3F" w:rsidRPr="007D754E" w:rsidRDefault="00420D3F" w:rsidP="007D754E">
      <w:pPr>
        <w:pStyle w:val="Default"/>
        <w:numPr>
          <w:ilvl w:val="0"/>
          <w:numId w:val="17"/>
        </w:numPr>
        <w:ind w:left="274" w:hanging="274"/>
        <w:jc w:val="both"/>
        <w:rPr>
          <w:rFonts w:ascii="Times New Roman" w:hAnsi="Times New Roman" w:cs="Times New Roman"/>
          <w:color w:val="auto"/>
        </w:rPr>
      </w:pPr>
      <w:r w:rsidRPr="007D754E">
        <w:rPr>
          <w:rFonts w:ascii="Times New Roman" w:hAnsi="Times New Roman" w:cs="Times New Roman"/>
          <w:color w:val="auto"/>
        </w:rPr>
        <w:t xml:space="preserve">planifică și </w:t>
      </w:r>
      <w:r w:rsidRPr="00206112">
        <w:rPr>
          <w:rFonts w:ascii="Times New Roman" w:hAnsi="Times New Roman" w:cs="Times New Roman"/>
          <w:color w:val="auto"/>
        </w:rPr>
        <w:t>determină întinderea procedurilor</w:t>
      </w:r>
      <w:r w:rsidRPr="007D754E">
        <w:rPr>
          <w:rFonts w:ascii="Times New Roman" w:hAnsi="Times New Roman" w:cs="Times New Roman"/>
          <w:color w:val="auto"/>
        </w:rPr>
        <w:t xml:space="preserve"> care trebuie efectuate cu privire la informațiile marcate prevăzute la punctul 10;</w:t>
      </w:r>
    </w:p>
    <w:p w14:paraId="3FFAA77F" w14:textId="2ED0D35B" w:rsidR="00420D3F" w:rsidRPr="007D754E" w:rsidRDefault="00420D3F" w:rsidP="007D754E">
      <w:pPr>
        <w:pStyle w:val="Default"/>
        <w:numPr>
          <w:ilvl w:val="0"/>
          <w:numId w:val="17"/>
        </w:numPr>
        <w:ind w:left="274" w:hanging="274"/>
        <w:jc w:val="both"/>
        <w:rPr>
          <w:rFonts w:ascii="Times New Roman" w:hAnsi="Times New Roman" w:cs="Times New Roman"/>
          <w:color w:val="auto"/>
        </w:rPr>
      </w:pPr>
      <w:r w:rsidRPr="007D754E">
        <w:rPr>
          <w:rFonts w:ascii="Times New Roman" w:hAnsi="Times New Roman" w:cs="Times New Roman"/>
          <w:color w:val="auto"/>
        </w:rPr>
        <w:lastRenderedPageBreak/>
        <w:t xml:space="preserve">evaluează efectul denaturărilor identificate asupra informațiilor marcate, în conformitate cu procedurile </w:t>
      </w:r>
      <w:r w:rsidR="007D754E" w:rsidRPr="007D754E">
        <w:rPr>
          <w:rFonts w:ascii="Times New Roman" w:hAnsi="Times New Roman" w:cs="Times New Roman"/>
          <w:color w:val="auto"/>
        </w:rPr>
        <w:t>efectuate</w:t>
      </w:r>
      <w:r w:rsidRPr="007D754E">
        <w:rPr>
          <w:rFonts w:ascii="Times New Roman" w:hAnsi="Times New Roman" w:cs="Times New Roman"/>
          <w:color w:val="auto"/>
        </w:rPr>
        <w:t>; și</w:t>
      </w:r>
    </w:p>
    <w:p w14:paraId="0DF890A7" w14:textId="1F575508" w:rsidR="00420D3F" w:rsidRPr="007D754E" w:rsidRDefault="00420D3F" w:rsidP="007D754E">
      <w:pPr>
        <w:pStyle w:val="Default"/>
        <w:numPr>
          <w:ilvl w:val="0"/>
          <w:numId w:val="17"/>
        </w:numPr>
        <w:ind w:left="274" w:hanging="274"/>
        <w:jc w:val="both"/>
        <w:rPr>
          <w:rFonts w:ascii="Times New Roman" w:hAnsi="Times New Roman" w:cs="Times New Roman"/>
          <w:color w:val="auto"/>
        </w:rPr>
      </w:pPr>
      <w:r w:rsidRPr="007D754E">
        <w:rPr>
          <w:rFonts w:ascii="Times New Roman" w:hAnsi="Times New Roman" w:cs="Times New Roman"/>
          <w:color w:val="auto"/>
        </w:rPr>
        <w:t>formează opinia cu privire la conformitatea informațiilor marcate cu cerințele ESEF, care urmează</w:t>
      </w:r>
      <w:r w:rsidR="00EB51C6">
        <w:rPr>
          <w:rFonts w:ascii="Times New Roman" w:hAnsi="Times New Roman" w:cs="Times New Roman"/>
          <w:color w:val="auto"/>
        </w:rPr>
        <w:t xml:space="preserve"> a fi </w:t>
      </w:r>
      <w:r w:rsidRPr="007D754E">
        <w:rPr>
          <w:rFonts w:ascii="Times New Roman" w:hAnsi="Times New Roman" w:cs="Times New Roman"/>
          <w:color w:val="auto"/>
        </w:rPr>
        <w:t>inclusă în raportul de audit.</w:t>
      </w:r>
    </w:p>
    <w:p w14:paraId="7A1013CD" w14:textId="69D3E45C"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7D754E">
        <w:rPr>
          <w:rFonts w:ascii="Times New Roman" w:hAnsi="Times New Roman" w:cs="Times New Roman"/>
          <w:sz w:val="24"/>
          <w:szCs w:val="24"/>
        </w:rPr>
        <w:t xml:space="preserve">7. La determinarea pragului de semnificație în scopurile identificate </w:t>
      </w:r>
      <w:r w:rsidR="00EB51C6">
        <w:rPr>
          <w:rFonts w:ascii="Times New Roman" w:hAnsi="Times New Roman" w:cs="Times New Roman"/>
          <w:sz w:val="24"/>
          <w:szCs w:val="24"/>
        </w:rPr>
        <w:t>anterior</w:t>
      </w:r>
      <w:r w:rsidRPr="007D754E">
        <w:rPr>
          <w:rFonts w:ascii="Times New Roman" w:hAnsi="Times New Roman" w:cs="Times New Roman"/>
          <w:sz w:val="24"/>
          <w:szCs w:val="24"/>
        </w:rPr>
        <w:t xml:space="preserve">, auditorii trebuie să utilizeze ca punct de plecare pragul de semnificație definit pentru auditul situațiilor financiare </w:t>
      </w:r>
      <w:r w:rsidR="00921BDF">
        <w:rPr>
          <w:rFonts w:ascii="Times New Roman" w:hAnsi="Times New Roman" w:cs="Times New Roman"/>
          <w:sz w:val="24"/>
          <w:szCs w:val="24"/>
        </w:rPr>
        <w:t xml:space="preserve">anuale </w:t>
      </w:r>
      <w:r w:rsidRPr="007D754E">
        <w:rPr>
          <w:rFonts w:ascii="Times New Roman" w:hAnsi="Times New Roman" w:cs="Times New Roman"/>
          <w:sz w:val="24"/>
          <w:szCs w:val="24"/>
        </w:rPr>
        <w:t xml:space="preserve">și să ia în considerare aspectele cantitative și calitative care rezultă din specificul informațiilor marcate și din </w:t>
      </w:r>
      <w:r w:rsidRPr="005F28B4">
        <w:rPr>
          <w:rFonts w:ascii="Times New Roman" w:hAnsi="Times New Roman" w:cs="Times New Roman"/>
          <w:sz w:val="24"/>
          <w:szCs w:val="24"/>
        </w:rPr>
        <w:t>nevoile</w:t>
      </w:r>
      <w:r w:rsidRPr="007D754E">
        <w:rPr>
          <w:rFonts w:ascii="Times New Roman" w:hAnsi="Times New Roman" w:cs="Times New Roman"/>
          <w:sz w:val="24"/>
          <w:szCs w:val="24"/>
        </w:rPr>
        <w:t xml:space="preserve"> și așteptările utilizatorilor pe care le pot avea referitor la informațiile marcate.</w:t>
      </w:r>
    </w:p>
    <w:p w14:paraId="5A0135F4" w14:textId="0A74D8F8" w:rsidR="00420D3F" w:rsidRPr="007D754E" w:rsidRDefault="00420D3F" w:rsidP="00420D3F">
      <w:pPr>
        <w:autoSpaceDE w:val="0"/>
        <w:autoSpaceDN w:val="0"/>
        <w:adjustRightInd w:val="0"/>
        <w:spacing w:before="120" w:after="0" w:line="240" w:lineRule="auto"/>
        <w:jc w:val="both"/>
        <w:rPr>
          <w:rFonts w:ascii="Times New Roman" w:hAnsi="Times New Roman" w:cs="Times New Roman"/>
          <w:i/>
          <w:iCs/>
          <w:sz w:val="24"/>
          <w:szCs w:val="24"/>
        </w:rPr>
      </w:pPr>
      <w:r w:rsidRPr="007D754E">
        <w:rPr>
          <w:rFonts w:ascii="Times New Roman" w:hAnsi="Times New Roman" w:cs="Times New Roman"/>
          <w:i/>
          <w:iCs/>
          <w:sz w:val="24"/>
          <w:szCs w:val="24"/>
        </w:rPr>
        <w:t>Evaluarea riscurilor de denaturare semnificativă și răspunsuri</w:t>
      </w:r>
      <w:r w:rsidR="00C11353">
        <w:rPr>
          <w:rFonts w:ascii="Times New Roman" w:hAnsi="Times New Roman" w:cs="Times New Roman"/>
          <w:i/>
          <w:iCs/>
          <w:sz w:val="24"/>
          <w:szCs w:val="24"/>
        </w:rPr>
        <w:t>le</w:t>
      </w:r>
      <w:r w:rsidRPr="007D754E">
        <w:rPr>
          <w:rFonts w:ascii="Times New Roman" w:hAnsi="Times New Roman" w:cs="Times New Roman"/>
          <w:i/>
          <w:iCs/>
          <w:sz w:val="24"/>
          <w:szCs w:val="24"/>
        </w:rPr>
        <w:t xml:space="preserve"> la aceste riscuri</w:t>
      </w:r>
    </w:p>
    <w:p w14:paraId="67A4110F" w14:textId="1D9ABF53"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7D754E">
        <w:rPr>
          <w:rFonts w:ascii="Times New Roman" w:hAnsi="Times New Roman" w:cs="Times New Roman"/>
          <w:sz w:val="24"/>
          <w:szCs w:val="24"/>
        </w:rPr>
        <w:t xml:space="preserve">8. Auditorii </w:t>
      </w:r>
      <w:bookmarkStart w:id="1" w:name="_Hlk86932602"/>
      <w:r w:rsidR="007D754E" w:rsidRPr="007D754E">
        <w:rPr>
          <w:rFonts w:ascii="Times New Roman" w:hAnsi="Times New Roman" w:cs="Times New Roman"/>
          <w:sz w:val="24"/>
          <w:szCs w:val="24"/>
        </w:rPr>
        <w:t xml:space="preserve">trebuie să </w:t>
      </w:r>
      <w:r w:rsidRPr="007D754E">
        <w:rPr>
          <w:rFonts w:ascii="Times New Roman" w:hAnsi="Times New Roman" w:cs="Times New Roman"/>
          <w:sz w:val="24"/>
          <w:szCs w:val="24"/>
        </w:rPr>
        <w:t>identific</w:t>
      </w:r>
      <w:r w:rsidR="007D754E" w:rsidRPr="007D754E">
        <w:rPr>
          <w:rFonts w:ascii="Times New Roman" w:hAnsi="Times New Roman" w:cs="Times New Roman"/>
          <w:sz w:val="24"/>
          <w:szCs w:val="24"/>
        </w:rPr>
        <w:t>e</w:t>
      </w:r>
      <w:r w:rsidRPr="007D754E">
        <w:rPr>
          <w:rFonts w:ascii="Times New Roman" w:hAnsi="Times New Roman" w:cs="Times New Roman"/>
          <w:sz w:val="24"/>
          <w:szCs w:val="24"/>
        </w:rPr>
        <w:t xml:space="preserve"> și</w:t>
      </w:r>
      <w:r w:rsidR="007D754E" w:rsidRPr="007D754E">
        <w:rPr>
          <w:rFonts w:ascii="Times New Roman" w:hAnsi="Times New Roman" w:cs="Times New Roman"/>
          <w:sz w:val="24"/>
          <w:szCs w:val="24"/>
        </w:rPr>
        <w:t xml:space="preserve"> să</w:t>
      </w:r>
      <w:r w:rsidRPr="007D754E">
        <w:rPr>
          <w:rFonts w:ascii="Times New Roman" w:hAnsi="Times New Roman" w:cs="Times New Roman"/>
          <w:sz w:val="24"/>
          <w:szCs w:val="24"/>
        </w:rPr>
        <w:t xml:space="preserve"> evaluez</w:t>
      </w:r>
      <w:r w:rsidR="007D754E" w:rsidRPr="007D754E">
        <w:rPr>
          <w:rFonts w:ascii="Times New Roman" w:hAnsi="Times New Roman" w:cs="Times New Roman"/>
          <w:sz w:val="24"/>
          <w:szCs w:val="24"/>
        </w:rPr>
        <w:t>e</w:t>
      </w:r>
      <w:r w:rsidRPr="007D754E">
        <w:rPr>
          <w:rFonts w:ascii="Times New Roman" w:hAnsi="Times New Roman" w:cs="Times New Roman"/>
          <w:sz w:val="24"/>
          <w:szCs w:val="24"/>
        </w:rPr>
        <w:t xml:space="preserve"> </w:t>
      </w:r>
      <w:bookmarkEnd w:id="1"/>
      <w:r w:rsidRPr="007D754E">
        <w:rPr>
          <w:rFonts w:ascii="Times New Roman" w:hAnsi="Times New Roman" w:cs="Times New Roman"/>
          <w:sz w:val="24"/>
          <w:szCs w:val="24"/>
        </w:rPr>
        <w:t>riscurile de denaturare semnificativă în situațiile financiare</w:t>
      </w:r>
      <w:r w:rsidR="00921BDF">
        <w:rPr>
          <w:rFonts w:ascii="Times New Roman" w:hAnsi="Times New Roman" w:cs="Times New Roman"/>
          <w:sz w:val="24"/>
          <w:szCs w:val="24"/>
        </w:rPr>
        <w:t xml:space="preserve"> anuale</w:t>
      </w:r>
      <w:r w:rsidRPr="007D754E">
        <w:rPr>
          <w:rFonts w:ascii="Times New Roman" w:hAnsi="Times New Roman" w:cs="Times New Roman"/>
          <w:sz w:val="24"/>
          <w:szCs w:val="24"/>
        </w:rPr>
        <w:t xml:space="preserve"> prezentate în format ESEF ținând seama de:</w:t>
      </w:r>
    </w:p>
    <w:p w14:paraId="1C2F4AB6" w14:textId="76F79885" w:rsidR="00420D3F" w:rsidRPr="00177570" w:rsidRDefault="00420D3F" w:rsidP="007D754E">
      <w:pPr>
        <w:pStyle w:val="Default"/>
        <w:numPr>
          <w:ilvl w:val="0"/>
          <w:numId w:val="17"/>
        </w:numPr>
        <w:ind w:left="274" w:hanging="274"/>
        <w:jc w:val="both"/>
        <w:rPr>
          <w:rFonts w:ascii="Times New Roman" w:hAnsi="Times New Roman" w:cs="Times New Roman"/>
          <w:color w:val="auto"/>
        </w:rPr>
      </w:pPr>
      <w:r w:rsidRPr="00177570">
        <w:rPr>
          <w:rFonts w:ascii="Times New Roman" w:hAnsi="Times New Roman" w:cs="Times New Roman"/>
          <w:color w:val="auto"/>
        </w:rPr>
        <w:t>elementele de control intern relevante pentru întocmirea situațiilor financiare</w:t>
      </w:r>
      <w:r w:rsidR="00A60187" w:rsidRPr="00177570">
        <w:rPr>
          <w:rFonts w:ascii="Times New Roman" w:hAnsi="Times New Roman" w:cs="Times New Roman"/>
          <w:color w:val="auto"/>
        </w:rPr>
        <w:t xml:space="preserve"> anuale</w:t>
      </w:r>
      <w:r w:rsidRPr="00177570">
        <w:rPr>
          <w:rFonts w:ascii="Times New Roman" w:hAnsi="Times New Roman" w:cs="Times New Roman"/>
          <w:color w:val="auto"/>
        </w:rPr>
        <w:t xml:space="preserve"> în format ESEF</w:t>
      </w:r>
      <w:r w:rsidR="00A60187" w:rsidRPr="00177570">
        <w:rPr>
          <w:rFonts w:ascii="Times New Roman" w:hAnsi="Times New Roman" w:cs="Times New Roman"/>
          <w:color w:val="auto"/>
        </w:rPr>
        <w:t>,</w:t>
      </w:r>
    </w:p>
    <w:p w14:paraId="08D771BC" w14:textId="77777777" w:rsidR="00A60187" w:rsidRPr="00177570" w:rsidRDefault="00420D3F" w:rsidP="007D754E">
      <w:pPr>
        <w:pStyle w:val="Default"/>
        <w:numPr>
          <w:ilvl w:val="0"/>
          <w:numId w:val="17"/>
        </w:numPr>
        <w:ind w:left="274" w:hanging="274"/>
        <w:jc w:val="both"/>
        <w:rPr>
          <w:rFonts w:ascii="Times New Roman" w:hAnsi="Times New Roman" w:cs="Times New Roman"/>
          <w:color w:val="auto"/>
        </w:rPr>
      </w:pPr>
      <w:r w:rsidRPr="00177570">
        <w:rPr>
          <w:rFonts w:ascii="Times New Roman" w:hAnsi="Times New Roman" w:cs="Times New Roman"/>
          <w:color w:val="auto"/>
        </w:rPr>
        <w:t>riscurile</w:t>
      </w:r>
      <w:r w:rsidRPr="00177570">
        <w:rPr>
          <w:rFonts w:ascii="Times New Roman" w:hAnsi="Times New Roman" w:cs="Times New Roman"/>
          <w:color w:val="auto"/>
          <w:vertAlign w:val="superscript"/>
        </w:rPr>
        <w:footnoteReference w:id="6"/>
      </w:r>
      <w:r w:rsidRPr="00177570">
        <w:rPr>
          <w:rFonts w:ascii="Times New Roman" w:hAnsi="Times New Roman" w:cs="Times New Roman"/>
          <w:color w:val="auto"/>
        </w:rPr>
        <w:t xml:space="preserve"> legate de exhaustivitatea și acuratețea informațiilor marcate</w:t>
      </w:r>
      <w:r w:rsidR="00A60187" w:rsidRPr="00177570">
        <w:rPr>
          <w:rFonts w:ascii="Times New Roman" w:hAnsi="Times New Roman" w:cs="Times New Roman"/>
          <w:color w:val="auto"/>
        </w:rPr>
        <w:t xml:space="preserve"> și</w:t>
      </w:r>
    </w:p>
    <w:p w14:paraId="5D51EEEC" w14:textId="37F617B0" w:rsidR="00420D3F" w:rsidRPr="00177570" w:rsidRDefault="00A60187" w:rsidP="007D754E">
      <w:pPr>
        <w:pStyle w:val="Default"/>
        <w:numPr>
          <w:ilvl w:val="0"/>
          <w:numId w:val="17"/>
        </w:numPr>
        <w:ind w:left="274" w:hanging="274"/>
        <w:jc w:val="both"/>
        <w:rPr>
          <w:rFonts w:ascii="Times New Roman" w:hAnsi="Times New Roman" w:cs="Times New Roman"/>
          <w:color w:val="auto"/>
        </w:rPr>
      </w:pPr>
      <w:r w:rsidRPr="00177570">
        <w:rPr>
          <w:rFonts w:ascii="Times New Roman" w:hAnsi="Times New Roman" w:cs="Times New Roman"/>
          <w:color w:val="auto"/>
        </w:rPr>
        <w:t xml:space="preserve">riscul legat de validitatea din punct de vedere tehnic </w:t>
      </w:r>
      <w:r w:rsidR="00177570" w:rsidRPr="00177570">
        <w:rPr>
          <w:rFonts w:ascii="Times New Roman" w:hAnsi="Times New Roman" w:cs="Times New Roman"/>
          <w:color w:val="auto"/>
        </w:rPr>
        <w:t>a</w:t>
      </w:r>
      <w:r w:rsidRPr="00177570">
        <w:rPr>
          <w:rFonts w:ascii="Times New Roman" w:hAnsi="Times New Roman" w:cs="Times New Roman"/>
          <w:color w:val="auto"/>
        </w:rPr>
        <w:t xml:space="preserve"> formatul</w:t>
      </w:r>
      <w:r w:rsidR="00177570" w:rsidRPr="00177570">
        <w:rPr>
          <w:rFonts w:ascii="Times New Roman" w:hAnsi="Times New Roman" w:cs="Times New Roman"/>
          <w:color w:val="auto"/>
        </w:rPr>
        <w:t>ui</w:t>
      </w:r>
      <w:r w:rsidRPr="00177570">
        <w:rPr>
          <w:rFonts w:ascii="Times New Roman" w:hAnsi="Times New Roman" w:cs="Times New Roman"/>
          <w:color w:val="auto"/>
        </w:rPr>
        <w:t xml:space="preserve"> </w:t>
      </w:r>
      <w:proofErr w:type="spellStart"/>
      <w:r w:rsidRPr="00177570">
        <w:rPr>
          <w:rFonts w:ascii="Times New Roman" w:hAnsi="Times New Roman" w:cs="Times New Roman"/>
          <w:color w:val="auto"/>
        </w:rPr>
        <w:t>xHTML</w:t>
      </w:r>
      <w:proofErr w:type="spellEnd"/>
      <w:r w:rsidR="00420D3F" w:rsidRPr="00177570">
        <w:rPr>
          <w:rFonts w:ascii="Times New Roman" w:hAnsi="Times New Roman" w:cs="Times New Roman"/>
          <w:color w:val="auto"/>
        </w:rPr>
        <w:t>.</w:t>
      </w:r>
    </w:p>
    <w:p w14:paraId="7B97E701" w14:textId="24A41837"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7D754E">
        <w:rPr>
          <w:rFonts w:ascii="Times New Roman" w:hAnsi="Times New Roman" w:cs="Times New Roman"/>
          <w:sz w:val="24"/>
          <w:szCs w:val="24"/>
        </w:rPr>
        <w:t xml:space="preserve">9. Auditorii </w:t>
      </w:r>
      <w:r w:rsidR="007D754E" w:rsidRPr="007D754E">
        <w:rPr>
          <w:rFonts w:ascii="Times New Roman" w:hAnsi="Times New Roman" w:cs="Times New Roman"/>
          <w:sz w:val="24"/>
          <w:szCs w:val="24"/>
        </w:rPr>
        <w:t xml:space="preserve">trebuie să </w:t>
      </w:r>
      <w:r w:rsidRPr="007D754E">
        <w:rPr>
          <w:rFonts w:ascii="Times New Roman" w:hAnsi="Times New Roman" w:cs="Times New Roman"/>
          <w:sz w:val="24"/>
          <w:szCs w:val="24"/>
        </w:rPr>
        <w:t>verific</w:t>
      </w:r>
      <w:r w:rsidR="007D754E" w:rsidRPr="007D754E">
        <w:rPr>
          <w:rFonts w:ascii="Times New Roman" w:hAnsi="Times New Roman" w:cs="Times New Roman"/>
          <w:sz w:val="24"/>
          <w:szCs w:val="24"/>
        </w:rPr>
        <w:t>e</w:t>
      </w:r>
      <w:r w:rsidRPr="007D754E">
        <w:rPr>
          <w:rFonts w:ascii="Times New Roman" w:hAnsi="Times New Roman" w:cs="Times New Roman"/>
          <w:sz w:val="24"/>
          <w:szCs w:val="24"/>
        </w:rPr>
        <w:t xml:space="preserve"> dacă toate </w:t>
      </w:r>
      <w:r w:rsidR="009E078F" w:rsidRPr="00972054">
        <w:rPr>
          <w:rFonts w:ascii="Times New Roman" w:hAnsi="Times New Roman" w:cs="Times New Roman"/>
          <w:sz w:val="24"/>
          <w:szCs w:val="24"/>
        </w:rPr>
        <w:t>sumele</w:t>
      </w:r>
      <w:r w:rsidR="009E078F" w:rsidRPr="007D754E">
        <w:rPr>
          <w:rFonts w:ascii="Times New Roman" w:hAnsi="Times New Roman" w:cs="Times New Roman"/>
          <w:sz w:val="24"/>
          <w:szCs w:val="24"/>
        </w:rPr>
        <w:t xml:space="preserve"> </w:t>
      </w:r>
      <w:r w:rsidRPr="007D754E">
        <w:rPr>
          <w:rFonts w:ascii="Times New Roman" w:hAnsi="Times New Roman" w:cs="Times New Roman"/>
          <w:sz w:val="24"/>
          <w:szCs w:val="24"/>
        </w:rPr>
        <w:t xml:space="preserve">menționate în </w:t>
      </w:r>
      <w:r w:rsidR="00C11353">
        <w:rPr>
          <w:rFonts w:ascii="Times New Roman" w:hAnsi="Times New Roman" w:cs="Times New Roman"/>
          <w:sz w:val="24"/>
          <w:szCs w:val="24"/>
        </w:rPr>
        <w:t>A</w:t>
      </w:r>
      <w:r w:rsidRPr="007D754E">
        <w:rPr>
          <w:rFonts w:ascii="Times New Roman" w:hAnsi="Times New Roman" w:cs="Times New Roman"/>
          <w:sz w:val="24"/>
          <w:szCs w:val="24"/>
        </w:rPr>
        <w:t>nexa II alineatul 1</w:t>
      </w:r>
      <w:r w:rsidR="009E078F">
        <w:rPr>
          <w:rFonts w:ascii="Times New Roman" w:hAnsi="Times New Roman" w:cs="Times New Roman"/>
          <w:sz w:val="24"/>
          <w:szCs w:val="24"/>
        </w:rPr>
        <w:t>.</w:t>
      </w:r>
      <w:r w:rsidRPr="007D754E">
        <w:rPr>
          <w:rFonts w:ascii="Times New Roman" w:hAnsi="Times New Roman" w:cs="Times New Roman"/>
          <w:sz w:val="24"/>
          <w:szCs w:val="24"/>
        </w:rPr>
        <w:t xml:space="preserve"> din Regulamentul </w:t>
      </w:r>
      <w:r w:rsidR="003C4E33" w:rsidRPr="003C4E33">
        <w:rPr>
          <w:rFonts w:ascii="Times New Roman" w:hAnsi="Times New Roman" w:cs="Times New Roman"/>
          <w:sz w:val="24"/>
          <w:szCs w:val="24"/>
        </w:rPr>
        <w:t xml:space="preserve">delegat </w:t>
      </w:r>
      <w:r w:rsidRPr="007D754E">
        <w:rPr>
          <w:rFonts w:ascii="Times New Roman" w:hAnsi="Times New Roman" w:cs="Times New Roman"/>
          <w:sz w:val="24"/>
          <w:szCs w:val="24"/>
        </w:rPr>
        <w:t>ESEF au fost marcate</w:t>
      </w:r>
      <w:r w:rsidRPr="007D754E">
        <w:rPr>
          <w:rFonts w:ascii="Times New Roman" w:hAnsi="Times New Roman" w:cs="Times New Roman"/>
          <w:sz w:val="24"/>
          <w:szCs w:val="24"/>
          <w:vertAlign w:val="superscript"/>
        </w:rPr>
        <w:footnoteReference w:id="7"/>
      </w:r>
      <w:r w:rsidRPr="007D754E">
        <w:rPr>
          <w:rFonts w:ascii="Times New Roman" w:hAnsi="Times New Roman" w:cs="Times New Roman"/>
          <w:sz w:val="24"/>
          <w:szCs w:val="24"/>
        </w:rPr>
        <w:t>.</w:t>
      </w:r>
    </w:p>
    <w:p w14:paraId="67143960" w14:textId="27B0F8C0"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7D754E">
        <w:rPr>
          <w:rFonts w:ascii="Times New Roman" w:hAnsi="Times New Roman" w:cs="Times New Roman"/>
          <w:sz w:val="24"/>
          <w:szCs w:val="24"/>
        </w:rPr>
        <w:t>10. Pentru informațiile</w:t>
      </w:r>
      <w:r w:rsidRPr="007D754E">
        <w:rPr>
          <w:rFonts w:ascii="Times New Roman" w:hAnsi="Times New Roman" w:cs="Times New Roman"/>
          <w:sz w:val="24"/>
          <w:szCs w:val="24"/>
          <w:vertAlign w:val="superscript"/>
        </w:rPr>
        <w:footnoteReference w:id="8"/>
      </w:r>
      <w:r w:rsidRPr="007D754E">
        <w:rPr>
          <w:rFonts w:ascii="Times New Roman" w:hAnsi="Times New Roman" w:cs="Times New Roman"/>
          <w:sz w:val="24"/>
          <w:szCs w:val="24"/>
        </w:rPr>
        <w:t xml:space="preserve"> care trebuie marcate conform Regulamentului </w:t>
      </w:r>
      <w:r w:rsidR="003C4E33" w:rsidRPr="003C4E33">
        <w:rPr>
          <w:rFonts w:ascii="Times New Roman" w:hAnsi="Times New Roman" w:cs="Times New Roman"/>
          <w:sz w:val="24"/>
          <w:szCs w:val="24"/>
        </w:rPr>
        <w:t xml:space="preserve">delegat </w:t>
      </w:r>
      <w:r w:rsidRPr="007D754E">
        <w:rPr>
          <w:rFonts w:ascii="Times New Roman" w:hAnsi="Times New Roman" w:cs="Times New Roman"/>
          <w:sz w:val="24"/>
          <w:szCs w:val="24"/>
        </w:rPr>
        <w:t>ESEF</w:t>
      </w:r>
      <w:r w:rsidR="00A73273">
        <w:rPr>
          <w:rFonts w:ascii="Times New Roman" w:hAnsi="Times New Roman" w:cs="Times New Roman"/>
          <w:sz w:val="24"/>
          <w:szCs w:val="24"/>
        </w:rPr>
        <w:t>,</w:t>
      </w:r>
      <w:r w:rsidRPr="007D754E">
        <w:rPr>
          <w:rFonts w:ascii="Times New Roman" w:hAnsi="Times New Roman" w:cs="Times New Roman"/>
          <w:sz w:val="24"/>
          <w:szCs w:val="24"/>
        </w:rPr>
        <w:t xml:space="preserve"> sau pentru marcări </w:t>
      </w:r>
      <w:r w:rsidRPr="000C4FB3">
        <w:rPr>
          <w:rFonts w:ascii="Times New Roman" w:hAnsi="Times New Roman" w:cs="Times New Roman"/>
          <w:sz w:val="24"/>
          <w:szCs w:val="24"/>
        </w:rPr>
        <w:t>voluntare,</w:t>
      </w:r>
      <w:r w:rsidRPr="007D754E">
        <w:rPr>
          <w:rFonts w:ascii="Times New Roman" w:hAnsi="Times New Roman" w:cs="Times New Roman"/>
          <w:sz w:val="24"/>
          <w:szCs w:val="24"/>
        </w:rPr>
        <w:t xml:space="preserve"> </w:t>
      </w:r>
      <w:r w:rsidR="008A37F7">
        <w:rPr>
          <w:rFonts w:ascii="Times New Roman" w:hAnsi="Times New Roman" w:cs="Times New Roman"/>
          <w:sz w:val="24"/>
          <w:szCs w:val="24"/>
        </w:rPr>
        <w:t xml:space="preserve">altele decât cele obligatorii, </w:t>
      </w:r>
      <w:r w:rsidRPr="007D754E">
        <w:rPr>
          <w:rFonts w:ascii="Times New Roman" w:hAnsi="Times New Roman" w:cs="Times New Roman"/>
          <w:sz w:val="24"/>
          <w:szCs w:val="24"/>
        </w:rPr>
        <w:t>auditorii trebuie să verifice dacă:</w:t>
      </w:r>
    </w:p>
    <w:p w14:paraId="0DEA06C6" w14:textId="4BC5D11A" w:rsidR="00420D3F" w:rsidRPr="007D754E" w:rsidRDefault="00EB51C6" w:rsidP="007D754E">
      <w:pPr>
        <w:pStyle w:val="Default"/>
        <w:numPr>
          <w:ilvl w:val="0"/>
          <w:numId w:val="17"/>
        </w:numPr>
        <w:ind w:left="274" w:hanging="274"/>
        <w:jc w:val="both"/>
        <w:rPr>
          <w:rFonts w:ascii="Times New Roman" w:hAnsi="Times New Roman" w:cs="Times New Roman"/>
          <w:color w:val="auto"/>
        </w:rPr>
      </w:pPr>
      <w:r>
        <w:rPr>
          <w:rFonts w:ascii="Times New Roman" w:hAnsi="Times New Roman" w:cs="Times New Roman"/>
          <w:color w:val="auto"/>
        </w:rPr>
        <w:t xml:space="preserve">a fost </w:t>
      </w:r>
      <w:r w:rsidR="00420D3F" w:rsidRPr="007D754E">
        <w:rPr>
          <w:rFonts w:ascii="Times New Roman" w:hAnsi="Times New Roman" w:cs="Times New Roman"/>
          <w:color w:val="auto"/>
        </w:rPr>
        <w:t>utilizat limbajul de marcare XBRL,</w:t>
      </w:r>
    </w:p>
    <w:p w14:paraId="661286CF" w14:textId="41AE7EF0" w:rsidR="00420D3F" w:rsidRPr="000E6319" w:rsidRDefault="00A73273" w:rsidP="007D754E">
      <w:pPr>
        <w:pStyle w:val="Default"/>
        <w:numPr>
          <w:ilvl w:val="0"/>
          <w:numId w:val="17"/>
        </w:numPr>
        <w:ind w:left="274" w:hanging="274"/>
        <w:jc w:val="both"/>
        <w:rPr>
          <w:rFonts w:ascii="Times New Roman" w:hAnsi="Times New Roman" w:cs="Times New Roman"/>
          <w:color w:val="auto"/>
        </w:rPr>
      </w:pPr>
      <w:r>
        <w:rPr>
          <w:rFonts w:ascii="Times New Roman" w:hAnsi="Times New Roman" w:cs="Times New Roman"/>
          <w:color w:val="auto"/>
        </w:rPr>
        <w:t xml:space="preserve">au fost </w:t>
      </w:r>
      <w:r w:rsidR="00420D3F" w:rsidRPr="0046319C">
        <w:rPr>
          <w:rFonts w:ascii="Times New Roman" w:hAnsi="Times New Roman" w:cs="Times New Roman"/>
          <w:color w:val="auto"/>
        </w:rPr>
        <w:t xml:space="preserve">utilizate elementele taxonomiei de bază (specificate în anexa </w:t>
      </w:r>
      <w:r w:rsidR="00EB51C6">
        <w:rPr>
          <w:rFonts w:ascii="Times New Roman" w:hAnsi="Times New Roman" w:cs="Times New Roman"/>
          <w:color w:val="auto"/>
        </w:rPr>
        <w:t>a</w:t>
      </w:r>
      <w:r w:rsidR="001526CD">
        <w:rPr>
          <w:rFonts w:ascii="Times New Roman" w:hAnsi="Times New Roman" w:cs="Times New Roman"/>
          <w:color w:val="auto"/>
        </w:rPr>
        <w:t xml:space="preserve"> </w:t>
      </w:r>
      <w:r w:rsidR="00420D3F" w:rsidRPr="0046319C">
        <w:rPr>
          <w:rFonts w:ascii="Times New Roman" w:hAnsi="Times New Roman" w:cs="Times New Roman"/>
          <w:color w:val="auto"/>
        </w:rPr>
        <w:t>VI</w:t>
      </w:r>
      <w:r w:rsidR="00EB51C6">
        <w:rPr>
          <w:rFonts w:ascii="Times New Roman" w:hAnsi="Times New Roman" w:cs="Times New Roman"/>
          <w:color w:val="auto"/>
        </w:rPr>
        <w:t>-</w:t>
      </w:r>
      <w:r w:rsidR="00420D3F" w:rsidRPr="0046319C">
        <w:rPr>
          <w:rFonts w:ascii="Times New Roman" w:hAnsi="Times New Roman" w:cs="Times New Roman"/>
          <w:color w:val="auto"/>
        </w:rPr>
        <w:t xml:space="preserve">a </w:t>
      </w:r>
      <w:r w:rsidR="00EB51C6">
        <w:rPr>
          <w:rFonts w:ascii="Times New Roman" w:hAnsi="Times New Roman" w:cs="Times New Roman"/>
          <w:color w:val="auto"/>
        </w:rPr>
        <w:t xml:space="preserve">a </w:t>
      </w:r>
      <w:r w:rsidR="00420D3F" w:rsidRPr="0046319C">
        <w:rPr>
          <w:rFonts w:ascii="Times New Roman" w:hAnsi="Times New Roman" w:cs="Times New Roman"/>
          <w:color w:val="auto"/>
        </w:rPr>
        <w:t xml:space="preserve">Regulamentului </w:t>
      </w:r>
      <w:r w:rsidR="003C4E33" w:rsidRPr="003C4E33">
        <w:rPr>
          <w:rFonts w:ascii="Times New Roman" w:hAnsi="Times New Roman" w:cs="Times New Roman"/>
          <w:color w:val="auto"/>
        </w:rPr>
        <w:t xml:space="preserve">delegat </w:t>
      </w:r>
      <w:r w:rsidR="00420D3F" w:rsidRPr="0046319C">
        <w:rPr>
          <w:rFonts w:ascii="Times New Roman" w:hAnsi="Times New Roman" w:cs="Times New Roman"/>
          <w:color w:val="auto"/>
        </w:rPr>
        <w:t xml:space="preserve">ESEF) cu </w:t>
      </w:r>
      <w:r w:rsidR="00EB51C6">
        <w:rPr>
          <w:rFonts w:ascii="Times New Roman" w:hAnsi="Times New Roman" w:cs="Times New Roman"/>
          <w:color w:val="auto"/>
        </w:rPr>
        <w:t>o semnificație contabilă similară</w:t>
      </w:r>
      <w:r w:rsidR="00420D3F" w:rsidRPr="0046319C">
        <w:rPr>
          <w:rFonts w:ascii="Times New Roman" w:hAnsi="Times New Roman" w:cs="Times New Roman"/>
          <w:color w:val="auto"/>
        </w:rPr>
        <w:t xml:space="preserve">, cu excepția cazului în care este creat un element </w:t>
      </w:r>
      <w:r w:rsidR="00420D3F" w:rsidRPr="000E6319">
        <w:rPr>
          <w:rFonts w:ascii="Times New Roman" w:hAnsi="Times New Roman" w:cs="Times New Roman"/>
          <w:color w:val="auto"/>
        </w:rPr>
        <w:t xml:space="preserve">al taxonomiei extinse, </w:t>
      </w:r>
    </w:p>
    <w:p w14:paraId="4ADF2697" w14:textId="77777777" w:rsidR="00A92CCC" w:rsidRDefault="00420D3F" w:rsidP="007D754E">
      <w:pPr>
        <w:pStyle w:val="Default"/>
        <w:numPr>
          <w:ilvl w:val="0"/>
          <w:numId w:val="17"/>
        </w:numPr>
        <w:ind w:left="274" w:hanging="274"/>
        <w:jc w:val="both"/>
        <w:rPr>
          <w:rFonts w:ascii="Times New Roman" w:hAnsi="Times New Roman" w:cs="Times New Roman"/>
          <w:color w:val="auto"/>
        </w:rPr>
      </w:pPr>
      <w:r w:rsidRPr="000E6319">
        <w:rPr>
          <w:rFonts w:ascii="Times New Roman" w:hAnsi="Times New Roman" w:cs="Times New Roman"/>
          <w:color w:val="auto"/>
        </w:rPr>
        <w:t xml:space="preserve">elementele taxonomiei extinse create, dacă există, sunt conforme cu </w:t>
      </w:r>
      <w:r w:rsidR="001526CD">
        <w:rPr>
          <w:rFonts w:ascii="Times New Roman" w:hAnsi="Times New Roman" w:cs="Times New Roman"/>
          <w:color w:val="auto"/>
        </w:rPr>
        <w:t>prevederile</w:t>
      </w:r>
      <w:r w:rsidR="00A73273">
        <w:rPr>
          <w:rFonts w:ascii="Times New Roman" w:hAnsi="Times New Roman" w:cs="Times New Roman"/>
          <w:color w:val="auto"/>
        </w:rPr>
        <w:t xml:space="preserve"> </w:t>
      </w:r>
      <w:r w:rsidR="0016277A">
        <w:rPr>
          <w:rFonts w:ascii="Times New Roman" w:hAnsi="Times New Roman" w:cs="Times New Roman"/>
          <w:color w:val="auto"/>
        </w:rPr>
        <w:t>A</w:t>
      </w:r>
      <w:r w:rsidRPr="000E6319">
        <w:rPr>
          <w:rFonts w:ascii="Times New Roman" w:hAnsi="Times New Roman" w:cs="Times New Roman"/>
          <w:color w:val="auto"/>
        </w:rPr>
        <w:t>nex</w:t>
      </w:r>
      <w:r w:rsidR="00A73273">
        <w:rPr>
          <w:rFonts w:ascii="Times New Roman" w:hAnsi="Times New Roman" w:cs="Times New Roman"/>
          <w:color w:val="auto"/>
        </w:rPr>
        <w:t xml:space="preserve">ei </w:t>
      </w:r>
      <w:r w:rsidRPr="000E6319">
        <w:rPr>
          <w:rFonts w:ascii="Times New Roman" w:hAnsi="Times New Roman" w:cs="Times New Roman"/>
          <w:color w:val="auto"/>
        </w:rPr>
        <w:t>a</w:t>
      </w:r>
      <w:r w:rsidR="001526CD">
        <w:rPr>
          <w:rFonts w:ascii="Times New Roman" w:hAnsi="Times New Roman" w:cs="Times New Roman"/>
          <w:color w:val="auto"/>
        </w:rPr>
        <w:t xml:space="preserve"> </w:t>
      </w:r>
      <w:r w:rsidRPr="000E6319">
        <w:rPr>
          <w:rFonts w:ascii="Times New Roman" w:hAnsi="Times New Roman" w:cs="Times New Roman"/>
          <w:color w:val="auto"/>
        </w:rPr>
        <w:t>IV</w:t>
      </w:r>
      <w:r w:rsidR="00A73273">
        <w:rPr>
          <w:rFonts w:ascii="Times New Roman" w:hAnsi="Times New Roman" w:cs="Times New Roman"/>
          <w:color w:val="auto"/>
        </w:rPr>
        <w:t>-a a</w:t>
      </w:r>
      <w:r w:rsidRPr="000E6319">
        <w:rPr>
          <w:rFonts w:ascii="Times New Roman" w:hAnsi="Times New Roman" w:cs="Times New Roman"/>
          <w:color w:val="auto"/>
        </w:rPr>
        <w:t xml:space="preserve"> Regulamentul</w:t>
      </w:r>
      <w:r w:rsidR="00A73273">
        <w:rPr>
          <w:rFonts w:ascii="Times New Roman" w:hAnsi="Times New Roman" w:cs="Times New Roman"/>
          <w:color w:val="auto"/>
        </w:rPr>
        <w:t>ui</w:t>
      </w:r>
      <w:r w:rsidRPr="000E6319">
        <w:rPr>
          <w:rFonts w:ascii="Times New Roman" w:hAnsi="Times New Roman" w:cs="Times New Roman"/>
          <w:color w:val="auto"/>
        </w:rPr>
        <w:t xml:space="preserve"> </w:t>
      </w:r>
      <w:r w:rsidR="003C4E33" w:rsidRPr="003C4E33">
        <w:rPr>
          <w:rFonts w:ascii="Times New Roman" w:hAnsi="Times New Roman" w:cs="Times New Roman"/>
          <w:color w:val="auto"/>
        </w:rPr>
        <w:t xml:space="preserve">delegat </w:t>
      </w:r>
      <w:r w:rsidRPr="000E6319">
        <w:rPr>
          <w:rFonts w:ascii="Times New Roman" w:hAnsi="Times New Roman" w:cs="Times New Roman"/>
          <w:color w:val="auto"/>
        </w:rPr>
        <w:t>ESEF</w:t>
      </w:r>
      <w:r w:rsidR="00A73273">
        <w:rPr>
          <w:rFonts w:ascii="Times New Roman" w:hAnsi="Times New Roman" w:cs="Times New Roman"/>
          <w:color w:val="auto"/>
        </w:rPr>
        <w:t>,</w:t>
      </w:r>
      <w:r w:rsidRPr="000E6319">
        <w:rPr>
          <w:rFonts w:ascii="Times New Roman" w:hAnsi="Times New Roman" w:cs="Times New Roman"/>
          <w:color w:val="auto"/>
        </w:rPr>
        <w:t xml:space="preserve"> </w:t>
      </w:r>
    </w:p>
    <w:p w14:paraId="6FCAABD5" w14:textId="2425BC14" w:rsidR="00420D3F" w:rsidRPr="00177570" w:rsidRDefault="00A92CCC" w:rsidP="007D754E">
      <w:pPr>
        <w:pStyle w:val="Default"/>
        <w:numPr>
          <w:ilvl w:val="0"/>
          <w:numId w:val="17"/>
        </w:numPr>
        <w:ind w:left="274" w:hanging="274"/>
        <w:jc w:val="both"/>
        <w:rPr>
          <w:rFonts w:ascii="Times New Roman" w:hAnsi="Times New Roman" w:cs="Times New Roman"/>
          <w:color w:val="auto"/>
        </w:rPr>
      </w:pPr>
      <w:r w:rsidRPr="00177570">
        <w:rPr>
          <w:rFonts w:ascii="Times New Roman" w:hAnsi="Times New Roman" w:cs="Times New Roman"/>
          <w:color w:val="auto"/>
        </w:rPr>
        <w:t xml:space="preserve">marcările voluntare (cele </w:t>
      </w:r>
      <w:r w:rsidR="00CC51D6">
        <w:rPr>
          <w:rFonts w:ascii="Times New Roman" w:hAnsi="Times New Roman" w:cs="Times New Roman"/>
          <w:color w:val="auto"/>
        </w:rPr>
        <w:t>î</w:t>
      </w:r>
      <w:r w:rsidR="00CC51D6" w:rsidRPr="00177570">
        <w:rPr>
          <w:rFonts w:ascii="Times New Roman" w:hAnsi="Times New Roman" w:cs="Times New Roman"/>
          <w:color w:val="auto"/>
        </w:rPr>
        <w:t xml:space="preserve">n </w:t>
      </w:r>
      <w:r w:rsidRPr="00177570">
        <w:rPr>
          <w:rFonts w:ascii="Times New Roman" w:hAnsi="Times New Roman" w:cs="Times New Roman"/>
          <w:color w:val="auto"/>
        </w:rPr>
        <w:t>afara art</w:t>
      </w:r>
      <w:r w:rsidR="00C25243">
        <w:rPr>
          <w:rFonts w:ascii="Times New Roman" w:hAnsi="Times New Roman" w:cs="Times New Roman"/>
          <w:color w:val="auto"/>
        </w:rPr>
        <w:t>.</w:t>
      </w:r>
      <w:r w:rsidRPr="00177570">
        <w:rPr>
          <w:rFonts w:ascii="Times New Roman" w:hAnsi="Times New Roman" w:cs="Times New Roman"/>
          <w:color w:val="auto"/>
        </w:rPr>
        <w:t xml:space="preserve"> 4</w:t>
      </w:r>
      <w:r w:rsidR="00C25243">
        <w:rPr>
          <w:rFonts w:ascii="Times New Roman" w:hAnsi="Times New Roman" w:cs="Times New Roman"/>
          <w:color w:val="auto"/>
        </w:rPr>
        <w:t xml:space="preserve"> alin</w:t>
      </w:r>
      <w:r w:rsidRPr="00177570">
        <w:rPr>
          <w:rFonts w:ascii="Times New Roman" w:hAnsi="Times New Roman" w:cs="Times New Roman"/>
          <w:color w:val="auto"/>
        </w:rPr>
        <w:t>.</w:t>
      </w:r>
      <w:r w:rsidR="00C25243">
        <w:rPr>
          <w:rFonts w:ascii="Times New Roman" w:hAnsi="Times New Roman" w:cs="Times New Roman"/>
          <w:color w:val="auto"/>
        </w:rPr>
        <w:t xml:space="preserve"> (</w:t>
      </w:r>
      <w:r w:rsidRPr="00177570">
        <w:rPr>
          <w:rFonts w:ascii="Times New Roman" w:hAnsi="Times New Roman" w:cs="Times New Roman"/>
          <w:color w:val="auto"/>
        </w:rPr>
        <w:t>2</w:t>
      </w:r>
      <w:r w:rsidR="00C25243">
        <w:rPr>
          <w:rFonts w:ascii="Times New Roman" w:hAnsi="Times New Roman" w:cs="Times New Roman"/>
          <w:color w:val="auto"/>
        </w:rPr>
        <w:t xml:space="preserve">) din </w:t>
      </w:r>
      <w:r w:rsidR="00C25243" w:rsidRPr="00C25243">
        <w:rPr>
          <w:rFonts w:ascii="Times New Roman" w:hAnsi="Times New Roman" w:cs="Times New Roman"/>
          <w:color w:val="auto"/>
        </w:rPr>
        <w:t>Regulamentul delegat ESEF</w:t>
      </w:r>
      <w:r w:rsidRPr="00177570">
        <w:rPr>
          <w:rFonts w:ascii="Times New Roman" w:hAnsi="Times New Roman" w:cs="Times New Roman"/>
          <w:color w:val="auto"/>
        </w:rPr>
        <w:t xml:space="preserve">) nu sunt parțiale sau selective </w:t>
      </w:r>
      <w:r w:rsidR="00420D3F" w:rsidRPr="00177570">
        <w:rPr>
          <w:rFonts w:ascii="Times New Roman" w:hAnsi="Times New Roman" w:cs="Times New Roman"/>
          <w:color w:val="auto"/>
        </w:rPr>
        <w:t>și</w:t>
      </w:r>
    </w:p>
    <w:p w14:paraId="4D2EF527" w14:textId="113094DA" w:rsidR="00420D3F" w:rsidRPr="000E6319" w:rsidRDefault="00420D3F" w:rsidP="007D754E">
      <w:pPr>
        <w:pStyle w:val="Default"/>
        <w:numPr>
          <w:ilvl w:val="0"/>
          <w:numId w:val="17"/>
        </w:numPr>
        <w:ind w:left="274" w:hanging="274"/>
        <w:jc w:val="both"/>
        <w:rPr>
          <w:rFonts w:ascii="Times New Roman" w:hAnsi="Times New Roman" w:cs="Times New Roman"/>
          <w:color w:val="auto"/>
        </w:rPr>
      </w:pPr>
      <w:r w:rsidRPr="000E6319">
        <w:rPr>
          <w:rFonts w:ascii="Times New Roman" w:hAnsi="Times New Roman" w:cs="Times New Roman"/>
          <w:color w:val="auto"/>
        </w:rPr>
        <w:t xml:space="preserve">marcările respectă regulile comune privind marcările prevăzute în </w:t>
      </w:r>
      <w:r w:rsidR="0016277A">
        <w:rPr>
          <w:rFonts w:ascii="Times New Roman" w:hAnsi="Times New Roman" w:cs="Times New Roman"/>
          <w:color w:val="auto"/>
        </w:rPr>
        <w:t>A</w:t>
      </w:r>
      <w:r w:rsidRPr="000E6319">
        <w:rPr>
          <w:rFonts w:ascii="Times New Roman" w:hAnsi="Times New Roman" w:cs="Times New Roman"/>
          <w:color w:val="auto"/>
        </w:rPr>
        <w:t xml:space="preserve">nexa </w:t>
      </w:r>
      <w:r w:rsidR="00A73273">
        <w:rPr>
          <w:rFonts w:ascii="Times New Roman" w:hAnsi="Times New Roman" w:cs="Times New Roman"/>
          <w:color w:val="auto"/>
        </w:rPr>
        <w:t>a</w:t>
      </w:r>
      <w:r w:rsidR="001526CD">
        <w:rPr>
          <w:rFonts w:ascii="Times New Roman" w:hAnsi="Times New Roman" w:cs="Times New Roman"/>
          <w:color w:val="auto"/>
        </w:rPr>
        <w:t xml:space="preserve"> </w:t>
      </w:r>
      <w:r w:rsidRPr="000E6319">
        <w:rPr>
          <w:rFonts w:ascii="Times New Roman" w:hAnsi="Times New Roman" w:cs="Times New Roman"/>
          <w:color w:val="auto"/>
        </w:rPr>
        <w:t>III</w:t>
      </w:r>
      <w:r w:rsidR="00A73273">
        <w:rPr>
          <w:rFonts w:ascii="Times New Roman" w:hAnsi="Times New Roman" w:cs="Times New Roman"/>
          <w:color w:val="auto"/>
        </w:rPr>
        <w:t>-a</w:t>
      </w:r>
      <w:r w:rsidRPr="000E6319">
        <w:rPr>
          <w:rFonts w:ascii="Times New Roman" w:hAnsi="Times New Roman" w:cs="Times New Roman"/>
          <w:color w:val="auto"/>
        </w:rPr>
        <w:t xml:space="preserve"> (cu privire la specificațiile </w:t>
      </w:r>
      <w:proofErr w:type="spellStart"/>
      <w:r w:rsidRPr="000E6319">
        <w:rPr>
          <w:rFonts w:ascii="Times New Roman" w:hAnsi="Times New Roman" w:cs="Times New Roman"/>
          <w:color w:val="auto"/>
        </w:rPr>
        <w:t>Inline</w:t>
      </w:r>
      <w:proofErr w:type="spellEnd"/>
      <w:r w:rsidRPr="000E6319">
        <w:rPr>
          <w:rFonts w:ascii="Times New Roman" w:hAnsi="Times New Roman" w:cs="Times New Roman"/>
          <w:color w:val="auto"/>
        </w:rPr>
        <w:t xml:space="preserve"> XBRL aplicabile) și </w:t>
      </w:r>
      <w:r w:rsidR="0016277A">
        <w:rPr>
          <w:rFonts w:ascii="Times New Roman" w:hAnsi="Times New Roman" w:cs="Times New Roman"/>
          <w:color w:val="auto"/>
        </w:rPr>
        <w:t>A</w:t>
      </w:r>
      <w:r w:rsidRPr="000E6319">
        <w:rPr>
          <w:rFonts w:ascii="Times New Roman" w:hAnsi="Times New Roman" w:cs="Times New Roman"/>
          <w:color w:val="auto"/>
        </w:rPr>
        <w:t xml:space="preserve">nexa </w:t>
      </w:r>
      <w:r w:rsidR="00A73273">
        <w:rPr>
          <w:rFonts w:ascii="Times New Roman" w:hAnsi="Times New Roman" w:cs="Times New Roman"/>
          <w:color w:val="auto"/>
        </w:rPr>
        <w:t>a</w:t>
      </w:r>
      <w:r w:rsidR="00D025DF">
        <w:rPr>
          <w:rFonts w:ascii="Times New Roman" w:hAnsi="Times New Roman" w:cs="Times New Roman"/>
          <w:color w:val="auto"/>
        </w:rPr>
        <w:t xml:space="preserve"> </w:t>
      </w:r>
      <w:r w:rsidRPr="000E6319">
        <w:rPr>
          <w:rFonts w:ascii="Times New Roman" w:hAnsi="Times New Roman" w:cs="Times New Roman"/>
          <w:color w:val="auto"/>
        </w:rPr>
        <w:t>IV</w:t>
      </w:r>
      <w:r w:rsidR="00A73273">
        <w:rPr>
          <w:rFonts w:ascii="Times New Roman" w:hAnsi="Times New Roman" w:cs="Times New Roman"/>
          <w:color w:val="auto"/>
        </w:rPr>
        <w:t>-a</w:t>
      </w:r>
      <w:r w:rsidRPr="000E6319">
        <w:rPr>
          <w:rFonts w:ascii="Times New Roman" w:hAnsi="Times New Roman" w:cs="Times New Roman"/>
          <w:color w:val="auto"/>
        </w:rPr>
        <w:t xml:space="preserve"> (privind regulile de marcare și </w:t>
      </w:r>
      <w:r w:rsidR="000C4FB3">
        <w:rPr>
          <w:rFonts w:ascii="Times New Roman" w:hAnsi="Times New Roman" w:cs="Times New Roman"/>
          <w:color w:val="auto"/>
        </w:rPr>
        <w:t>completare</w:t>
      </w:r>
      <w:r w:rsidRPr="000E6319">
        <w:rPr>
          <w:rFonts w:ascii="Times New Roman" w:hAnsi="Times New Roman" w:cs="Times New Roman"/>
          <w:color w:val="auto"/>
        </w:rPr>
        <w:t xml:space="preserve">) </w:t>
      </w:r>
      <w:r w:rsidR="00A73273">
        <w:rPr>
          <w:rFonts w:ascii="Times New Roman" w:hAnsi="Times New Roman" w:cs="Times New Roman"/>
          <w:color w:val="auto"/>
        </w:rPr>
        <w:t>a</w:t>
      </w:r>
      <w:r w:rsidRPr="000E6319">
        <w:rPr>
          <w:rFonts w:ascii="Times New Roman" w:hAnsi="Times New Roman" w:cs="Times New Roman"/>
          <w:color w:val="auto"/>
        </w:rPr>
        <w:t xml:space="preserve"> Regulamentul</w:t>
      </w:r>
      <w:r w:rsidR="00A73273">
        <w:rPr>
          <w:rFonts w:ascii="Times New Roman" w:hAnsi="Times New Roman" w:cs="Times New Roman"/>
          <w:color w:val="auto"/>
        </w:rPr>
        <w:t>ui</w:t>
      </w:r>
      <w:r w:rsidRPr="000E6319">
        <w:rPr>
          <w:rFonts w:ascii="Times New Roman" w:hAnsi="Times New Roman" w:cs="Times New Roman"/>
          <w:color w:val="auto"/>
        </w:rPr>
        <w:t xml:space="preserve"> </w:t>
      </w:r>
      <w:r w:rsidR="003C4E33" w:rsidRPr="003C4E33">
        <w:rPr>
          <w:rFonts w:ascii="Times New Roman" w:hAnsi="Times New Roman" w:cs="Times New Roman"/>
          <w:color w:val="auto"/>
        </w:rPr>
        <w:t xml:space="preserve">delegat </w:t>
      </w:r>
      <w:r w:rsidRPr="000E6319">
        <w:rPr>
          <w:rFonts w:ascii="Times New Roman" w:hAnsi="Times New Roman" w:cs="Times New Roman"/>
          <w:color w:val="auto"/>
        </w:rPr>
        <w:t>ESEF.</w:t>
      </w:r>
    </w:p>
    <w:p w14:paraId="46177001" w14:textId="65EE2A19" w:rsidR="00420D3F" w:rsidRPr="007D754E"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8D5EC0">
        <w:rPr>
          <w:rFonts w:ascii="Times New Roman" w:hAnsi="Times New Roman" w:cs="Times New Roman"/>
          <w:sz w:val="24"/>
          <w:szCs w:val="24"/>
        </w:rPr>
        <w:t>11. Marcările care trebuie verificate în conformitate cu punctul 10</w:t>
      </w:r>
      <w:r w:rsidRPr="008D5EC0">
        <w:rPr>
          <w:rFonts w:ascii="Times New Roman" w:hAnsi="Times New Roman" w:cs="Times New Roman"/>
          <w:sz w:val="24"/>
          <w:szCs w:val="24"/>
          <w:vertAlign w:val="superscript"/>
        </w:rPr>
        <w:footnoteReference w:id="9"/>
      </w:r>
      <w:r w:rsidRPr="008D5EC0">
        <w:rPr>
          <w:rFonts w:ascii="Times New Roman" w:hAnsi="Times New Roman" w:cs="Times New Roman"/>
          <w:sz w:val="24"/>
          <w:szCs w:val="24"/>
        </w:rPr>
        <w:t xml:space="preserve"> vor fi selectate în funcție de riscurile de denaturare semnificativă evaluate de auditori. Auditorii pot decide să se bazeze, într-o anumită măsură, pe controalele </w:t>
      </w:r>
      <w:r w:rsidR="00177570">
        <w:rPr>
          <w:rFonts w:ascii="Times New Roman" w:hAnsi="Times New Roman" w:cs="Times New Roman"/>
          <w:sz w:val="24"/>
          <w:szCs w:val="24"/>
        </w:rPr>
        <w:t xml:space="preserve">interne </w:t>
      </w:r>
      <w:r w:rsidRPr="008D5EC0">
        <w:rPr>
          <w:rFonts w:ascii="Times New Roman" w:hAnsi="Times New Roman" w:cs="Times New Roman"/>
          <w:sz w:val="24"/>
          <w:szCs w:val="24"/>
        </w:rPr>
        <w:t>relevante puse în aplicare de entitate, după ce a obținut probe de audit suficiente și adecvate cu privire la eficacitatea operațională a acestora pentru a reduce amploarea procedurilor de fond.</w:t>
      </w:r>
    </w:p>
    <w:p w14:paraId="41B99A03" w14:textId="78E5252D" w:rsidR="00420D3F" w:rsidRPr="0046319C" w:rsidRDefault="007D754E" w:rsidP="00420D3F">
      <w:pPr>
        <w:autoSpaceDE w:val="0"/>
        <w:autoSpaceDN w:val="0"/>
        <w:adjustRightInd w:val="0"/>
        <w:spacing w:before="120" w:after="0" w:line="240" w:lineRule="auto"/>
        <w:jc w:val="both"/>
        <w:rPr>
          <w:rFonts w:ascii="Times New Roman" w:hAnsi="Times New Roman" w:cs="Times New Roman"/>
          <w:b/>
          <w:bCs/>
          <w:sz w:val="24"/>
          <w:szCs w:val="24"/>
        </w:rPr>
      </w:pPr>
      <w:r w:rsidRPr="0046319C">
        <w:rPr>
          <w:rFonts w:ascii="Times New Roman" w:hAnsi="Times New Roman" w:cs="Times New Roman"/>
          <w:b/>
          <w:bCs/>
          <w:sz w:val="24"/>
          <w:szCs w:val="24"/>
        </w:rPr>
        <w:t xml:space="preserve">E </w:t>
      </w:r>
      <w:r w:rsidR="00420D3F" w:rsidRPr="0046319C">
        <w:rPr>
          <w:rFonts w:ascii="Times New Roman" w:hAnsi="Times New Roman" w:cs="Times New Roman"/>
          <w:b/>
          <w:bCs/>
          <w:sz w:val="24"/>
          <w:szCs w:val="24"/>
        </w:rPr>
        <w:t>- Proceduri suplimentare</w:t>
      </w:r>
    </w:p>
    <w:p w14:paraId="21EF810C" w14:textId="45814F3C" w:rsidR="000A6F3E"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0F5EF2">
        <w:rPr>
          <w:rFonts w:ascii="Times New Roman" w:hAnsi="Times New Roman" w:cs="Times New Roman"/>
          <w:sz w:val="24"/>
          <w:szCs w:val="24"/>
        </w:rPr>
        <w:lastRenderedPageBreak/>
        <w:t>12</w:t>
      </w:r>
      <w:r w:rsidR="00420D3F" w:rsidRPr="000F5EF2">
        <w:rPr>
          <w:rFonts w:ascii="Times New Roman" w:hAnsi="Times New Roman" w:cs="Times New Roman"/>
          <w:sz w:val="24"/>
          <w:szCs w:val="24"/>
        </w:rPr>
        <w:t>. A</w:t>
      </w:r>
      <w:r w:rsidR="007656BF" w:rsidRPr="000F5EF2">
        <w:rPr>
          <w:rFonts w:ascii="Times New Roman" w:hAnsi="Times New Roman" w:cs="Times New Roman"/>
          <w:sz w:val="24"/>
          <w:szCs w:val="24"/>
        </w:rPr>
        <w:t xml:space="preserve">uditorii </w:t>
      </w:r>
      <w:r w:rsidR="00420D3F" w:rsidRPr="000F5EF2">
        <w:rPr>
          <w:rFonts w:ascii="Times New Roman" w:hAnsi="Times New Roman" w:cs="Times New Roman"/>
          <w:sz w:val="24"/>
          <w:szCs w:val="24"/>
        </w:rPr>
        <w:t xml:space="preserve">pot </w:t>
      </w:r>
      <w:r w:rsidR="000F5EF2" w:rsidRPr="000F5EF2">
        <w:rPr>
          <w:rFonts w:ascii="Times New Roman" w:hAnsi="Times New Roman" w:cs="Times New Roman"/>
          <w:sz w:val="24"/>
          <w:szCs w:val="24"/>
        </w:rPr>
        <w:t>considera oportun</w:t>
      </w:r>
      <w:r w:rsidR="000F5EF2">
        <w:rPr>
          <w:rFonts w:ascii="Times New Roman" w:hAnsi="Times New Roman" w:cs="Times New Roman"/>
          <w:sz w:val="24"/>
          <w:szCs w:val="24"/>
        </w:rPr>
        <w:t>ă</w:t>
      </w:r>
      <w:r w:rsidR="007D1C95" w:rsidRPr="000F5EF2">
        <w:rPr>
          <w:rFonts w:ascii="Times New Roman" w:hAnsi="Times New Roman" w:cs="Times New Roman"/>
          <w:sz w:val="24"/>
          <w:szCs w:val="24"/>
        </w:rPr>
        <w:t xml:space="preserve"> </w:t>
      </w:r>
      <w:r w:rsidR="00420D3F" w:rsidRPr="000F5EF2">
        <w:rPr>
          <w:rFonts w:ascii="Times New Roman" w:hAnsi="Times New Roman" w:cs="Times New Roman"/>
          <w:sz w:val="24"/>
          <w:szCs w:val="24"/>
        </w:rPr>
        <w:t>verificarea lizibilității fișierelor prin utilizarea unei alte aplicații decât cea utilizată de entitate pentru întocmirea situațiilor financiare în format ESEF. Această utilizare a unei alte aplicații este în toate cazurile o bună practică, chiar dacă nicio prevedere sau standard specific nu o impune.</w:t>
      </w:r>
      <w:r w:rsidR="00155383">
        <w:rPr>
          <w:rFonts w:ascii="Times New Roman" w:hAnsi="Times New Roman" w:cs="Times New Roman"/>
          <w:sz w:val="24"/>
          <w:szCs w:val="24"/>
        </w:rPr>
        <w:t xml:space="preserve"> </w:t>
      </w:r>
    </w:p>
    <w:p w14:paraId="3E39B781" w14:textId="74950182" w:rsidR="00420D3F" w:rsidRPr="007656BF" w:rsidRDefault="00CA69B7" w:rsidP="00420D3F">
      <w:pPr>
        <w:autoSpaceDE w:val="0"/>
        <w:autoSpaceDN w:val="0"/>
        <w:adjustRightInd w:val="0"/>
        <w:spacing w:before="120" w:after="0" w:line="240" w:lineRule="auto"/>
        <w:jc w:val="both"/>
        <w:rPr>
          <w:rFonts w:ascii="Times New Roman" w:hAnsi="Times New Roman" w:cs="Times New Roman"/>
          <w:b/>
          <w:bCs/>
          <w:sz w:val="24"/>
          <w:szCs w:val="24"/>
        </w:rPr>
      </w:pPr>
      <w:r w:rsidRPr="000339ED">
        <w:rPr>
          <w:rFonts w:ascii="Times New Roman" w:hAnsi="Times New Roman" w:cs="Times New Roman"/>
          <w:b/>
          <w:bCs/>
          <w:sz w:val="24"/>
          <w:szCs w:val="24"/>
        </w:rPr>
        <w:t xml:space="preserve">F </w:t>
      </w:r>
      <w:r w:rsidR="00420D3F" w:rsidRPr="000339ED">
        <w:rPr>
          <w:rFonts w:ascii="Times New Roman" w:hAnsi="Times New Roman" w:cs="Times New Roman"/>
          <w:b/>
          <w:bCs/>
          <w:sz w:val="24"/>
          <w:szCs w:val="24"/>
        </w:rPr>
        <w:t xml:space="preserve">- Raportarea privind conformitatea cu </w:t>
      </w:r>
      <w:r w:rsidR="000339ED" w:rsidRPr="000339ED">
        <w:rPr>
          <w:rFonts w:ascii="Times New Roman" w:hAnsi="Times New Roman" w:cs="Times New Roman"/>
          <w:b/>
          <w:bCs/>
          <w:sz w:val="24"/>
          <w:szCs w:val="24"/>
        </w:rPr>
        <w:t xml:space="preserve">cerințele </w:t>
      </w:r>
      <w:r w:rsidR="00420D3F" w:rsidRPr="000339ED">
        <w:rPr>
          <w:rFonts w:ascii="Times New Roman" w:hAnsi="Times New Roman" w:cs="Times New Roman"/>
          <w:b/>
          <w:bCs/>
          <w:sz w:val="24"/>
          <w:szCs w:val="24"/>
        </w:rPr>
        <w:t>ESEF în raportul de audit</w:t>
      </w:r>
    </w:p>
    <w:p w14:paraId="3EA7BE16" w14:textId="160E0F71" w:rsidR="00420D3F" w:rsidRPr="007656BF" w:rsidRDefault="005529F1" w:rsidP="00420D3F">
      <w:pPr>
        <w:spacing w:before="120" w:after="0" w:line="240" w:lineRule="auto"/>
        <w:jc w:val="both"/>
        <w:rPr>
          <w:rFonts w:ascii="Times New Roman" w:hAnsi="Times New Roman" w:cs="Times New Roman"/>
          <w:sz w:val="24"/>
          <w:szCs w:val="24"/>
        </w:rPr>
      </w:pPr>
      <w:r w:rsidRPr="007656BF">
        <w:rPr>
          <w:rFonts w:ascii="Times New Roman" w:hAnsi="Times New Roman" w:cs="Times New Roman"/>
          <w:sz w:val="24"/>
          <w:szCs w:val="24"/>
        </w:rPr>
        <w:t>1</w:t>
      </w:r>
      <w:r>
        <w:rPr>
          <w:rFonts w:ascii="Times New Roman" w:hAnsi="Times New Roman" w:cs="Times New Roman"/>
          <w:sz w:val="24"/>
          <w:szCs w:val="24"/>
        </w:rPr>
        <w:t>3</w:t>
      </w:r>
      <w:r w:rsidR="00420D3F" w:rsidRPr="007656BF">
        <w:rPr>
          <w:rFonts w:ascii="Times New Roman" w:hAnsi="Times New Roman" w:cs="Times New Roman"/>
          <w:sz w:val="24"/>
          <w:szCs w:val="24"/>
        </w:rPr>
        <w:t>. După efectuarea procedurilor și comunicarea cu conducerea și cu persoanele însărcinate cu guvernanța, auditorii, în cazul în care identifică denaturări semnificative sau neconformități, trebuie să descrie implicațiile acestora în raportul de audit.</w:t>
      </w:r>
    </w:p>
    <w:p w14:paraId="2B8B2487" w14:textId="34732F87" w:rsidR="00420D3F" w:rsidRPr="007656BF" w:rsidRDefault="005529F1" w:rsidP="00216D26">
      <w:pPr>
        <w:spacing w:before="120" w:after="0" w:line="240" w:lineRule="auto"/>
        <w:jc w:val="both"/>
        <w:rPr>
          <w:rFonts w:ascii="Times New Roman" w:hAnsi="Times New Roman" w:cs="Times New Roman"/>
          <w:sz w:val="24"/>
          <w:szCs w:val="24"/>
        </w:rPr>
      </w:pPr>
      <w:r w:rsidRPr="007656BF">
        <w:rPr>
          <w:rFonts w:ascii="Times New Roman" w:hAnsi="Times New Roman" w:cs="Times New Roman"/>
          <w:sz w:val="24"/>
          <w:szCs w:val="24"/>
        </w:rPr>
        <w:t>1</w:t>
      </w:r>
      <w:r>
        <w:rPr>
          <w:rFonts w:ascii="Times New Roman" w:hAnsi="Times New Roman" w:cs="Times New Roman"/>
          <w:sz w:val="24"/>
          <w:szCs w:val="24"/>
        </w:rPr>
        <w:t>4</w:t>
      </w:r>
      <w:r w:rsidR="00420D3F" w:rsidRPr="007656BF">
        <w:rPr>
          <w:rFonts w:ascii="Times New Roman" w:hAnsi="Times New Roman" w:cs="Times New Roman"/>
          <w:sz w:val="24"/>
          <w:szCs w:val="24"/>
        </w:rPr>
        <w:t>. Raportul de audit trebuie să includă:</w:t>
      </w:r>
    </w:p>
    <w:p w14:paraId="140517A7" w14:textId="77777777" w:rsidR="00420D3F" w:rsidRPr="007656BF" w:rsidRDefault="00420D3F" w:rsidP="00CA69B7">
      <w:pPr>
        <w:numPr>
          <w:ilvl w:val="0"/>
          <w:numId w:val="17"/>
        </w:numPr>
        <w:autoSpaceDE w:val="0"/>
        <w:autoSpaceDN w:val="0"/>
        <w:adjustRightInd w:val="0"/>
        <w:spacing w:after="0" w:line="240" w:lineRule="auto"/>
        <w:ind w:left="274" w:hanging="270"/>
        <w:jc w:val="both"/>
        <w:rPr>
          <w:rFonts w:ascii="Times New Roman" w:hAnsi="Times New Roman" w:cs="Times New Roman"/>
          <w:sz w:val="24"/>
          <w:szCs w:val="24"/>
        </w:rPr>
      </w:pPr>
      <w:r w:rsidRPr="000A6F3E">
        <w:rPr>
          <w:rFonts w:ascii="Times New Roman" w:hAnsi="Times New Roman" w:cs="Times New Roman"/>
          <w:sz w:val="24"/>
          <w:szCs w:val="24"/>
          <w:u w:val="single"/>
        </w:rPr>
        <w:t>O opinie</w:t>
      </w:r>
      <w:r w:rsidRPr="007656BF">
        <w:rPr>
          <w:rFonts w:ascii="Times New Roman" w:hAnsi="Times New Roman" w:cs="Times New Roman"/>
          <w:sz w:val="24"/>
          <w:szCs w:val="24"/>
        </w:rPr>
        <w:t xml:space="preserve"> cu privire la măsura în care prezentarea situațiilor financiare incluse în raportul financiar anual: </w:t>
      </w:r>
    </w:p>
    <w:p w14:paraId="22691585" w14:textId="77777777" w:rsidR="00420D3F" w:rsidRPr="007656BF" w:rsidRDefault="00420D3F" w:rsidP="00CA69B7">
      <w:pPr>
        <w:numPr>
          <w:ilvl w:val="1"/>
          <w:numId w:val="19"/>
        </w:numPr>
        <w:tabs>
          <w:tab w:val="left" w:pos="540"/>
        </w:tabs>
        <w:autoSpaceDE w:val="0"/>
        <w:autoSpaceDN w:val="0"/>
        <w:adjustRightInd w:val="0"/>
        <w:spacing w:after="0" w:line="240" w:lineRule="auto"/>
        <w:ind w:left="274"/>
        <w:jc w:val="both"/>
        <w:rPr>
          <w:rFonts w:ascii="Times New Roman" w:hAnsi="Times New Roman" w:cs="Times New Roman"/>
          <w:sz w:val="24"/>
          <w:szCs w:val="24"/>
        </w:rPr>
      </w:pPr>
      <w:r w:rsidRPr="007656BF">
        <w:rPr>
          <w:rFonts w:ascii="Times New Roman" w:hAnsi="Times New Roman" w:cs="Times New Roman"/>
          <w:sz w:val="24"/>
          <w:szCs w:val="24"/>
        </w:rPr>
        <w:t>fie respectă cerințele ESEF, sub toate aspectele semnificative;</w:t>
      </w:r>
    </w:p>
    <w:p w14:paraId="346B5D78" w14:textId="77777777" w:rsidR="00420D3F" w:rsidRPr="007656BF" w:rsidRDefault="00420D3F" w:rsidP="00CA69B7">
      <w:pPr>
        <w:numPr>
          <w:ilvl w:val="1"/>
          <w:numId w:val="19"/>
        </w:numPr>
        <w:tabs>
          <w:tab w:val="left" w:pos="540"/>
        </w:tabs>
        <w:autoSpaceDE w:val="0"/>
        <w:autoSpaceDN w:val="0"/>
        <w:adjustRightInd w:val="0"/>
        <w:spacing w:after="0" w:line="240" w:lineRule="auto"/>
        <w:ind w:left="274"/>
        <w:jc w:val="both"/>
        <w:rPr>
          <w:rFonts w:ascii="Times New Roman" w:hAnsi="Times New Roman" w:cs="Times New Roman"/>
          <w:sz w:val="24"/>
          <w:szCs w:val="24"/>
        </w:rPr>
      </w:pPr>
      <w:r w:rsidRPr="007656BF">
        <w:rPr>
          <w:rFonts w:ascii="Times New Roman" w:hAnsi="Times New Roman" w:cs="Times New Roman"/>
          <w:sz w:val="24"/>
          <w:szCs w:val="24"/>
        </w:rPr>
        <w:t>fie respectă cerințele ESEF, cu excepția denaturărilor semnificative sau a neconformității explicate în mod clar într-un anumit paragraf și menționate în opinie;</w:t>
      </w:r>
    </w:p>
    <w:p w14:paraId="15ED8961" w14:textId="77777777" w:rsidR="00420D3F" w:rsidRPr="007656BF" w:rsidRDefault="00420D3F" w:rsidP="00CA69B7">
      <w:pPr>
        <w:numPr>
          <w:ilvl w:val="1"/>
          <w:numId w:val="19"/>
        </w:numPr>
        <w:tabs>
          <w:tab w:val="left" w:pos="540"/>
        </w:tabs>
        <w:autoSpaceDE w:val="0"/>
        <w:autoSpaceDN w:val="0"/>
        <w:adjustRightInd w:val="0"/>
        <w:spacing w:after="0" w:line="240" w:lineRule="auto"/>
        <w:ind w:left="274"/>
        <w:jc w:val="both"/>
        <w:rPr>
          <w:rFonts w:ascii="Times New Roman" w:hAnsi="Times New Roman" w:cs="Times New Roman"/>
          <w:sz w:val="24"/>
          <w:szCs w:val="24"/>
        </w:rPr>
      </w:pPr>
      <w:r w:rsidRPr="007656BF">
        <w:rPr>
          <w:rFonts w:ascii="Times New Roman" w:hAnsi="Times New Roman" w:cs="Times New Roman"/>
          <w:sz w:val="24"/>
          <w:szCs w:val="24"/>
        </w:rPr>
        <w:t>fie nu respectă cerințele ESEF din cauza efectului generalizat al denaturărilor semnificative sau al neconformității explicate clar într-un anumit paragraf și menționate în opinie;</w:t>
      </w:r>
    </w:p>
    <w:p w14:paraId="54BC1E56" w14:textId="68450E7E" w:rsidR="00420D3F" w:rsidRPr="007656BF" w:rsidRDefault="00420D3F" w:rsidP="00CA69B7">
      <w:pPr>
        <w:numPr>
          <w:ilvl w:val="0"/>
          <w:numId w:val="17"/>
        </w:numPr>
        <w:autoSpaceDE w:val="0"/>
        <w:autoSpaceDN w:val="0"/>
        <w:adjustRightInd w:val="0"/>
        <w:spacing w:after="0" w:line="240" w:lineRule="auto"/>
        <w:ind w:left="274" w:hanging="270"/>
        <w:jc w:val="both"/>
        <w:rPr>
          <w:rFonts w:ascii="Times New Roman" w:hAnsi="Times New Roman" w:cs="Times New Roman"/>
          <w:sz w:val="24"/>
          <w:szCs w:val="24"/>
        </w:rPr>
      </w:pPr>
      <w:r w:rsidRPr="007656BF">
        <w:rPr>
          <w:rFonts w:ascii="Times New Roman" w:hAnsi="Times New Roman" w:cs="Times New Roman"/>
          <w:sz w:val="24"/>
          <w:szCs w:val="24"/>
        </w:rPr>
        <w:t xml:space="preserve">sau </w:t>
      </w:r>
      <w:r w:rsidRPr="000A6F3E">
        <w:rPr>
          <w:rFonts w:ascii="Times New Roman" w:hAnsi="Times New Roman" w:cs="Times New Roman"/>
          <w:sz w:val="24"/>
          <w:szCs w:val="24"/>
          <w:u w:val="single"/>
        </w:rPr>
        <w:t>o declarație</w:t>
      </w:r>
      <w:r w:rsidRPr="007656BF">
        <w:rPr>
          <w:rFonts w:ascii="Times New Roman" w:hAnsi="Times New Roman" w:cs="Times New Roman"/>
          <w:sz w:val="24"/>
          <w:szCs w:val="24"/>
        </w:rPr>
        <w:t xml:space="preserve"> a </w:t>
      </w:r>
      <w:r w:rsidR="00216D26">
        <w:rPr>
          <w:rFonts w:ascii="Times New Roman" w:hAnsi="Times New Roman" w:cs="Times New Roman"/>
          <w:sz w:val="24"/>
          <w:szCs w:val="24"/>
        </w:rPr>
        <w:t>imposibilității</w:t>
      </w:r>
      <w:r w:rsidR="00216D26" w:rsidRPr="007656BF">
        <w:rPr>
          <w:rFonts w:ascii="Times New Roman" w:hAnsi="Times New Roman" w:cs="Times New Roman"/>
          <w:sz w:val="24"/>
          <w:szCs w:val="24"/>
        </w:rPr>
        <w:t xml:space="preserve"> </w:t>
      </w:r>
      <w:r w:rsidRPr="007656BF">
        <w:rPr>
          <w:rFonts w:ascii="Times New Roman" w:hAnsi="Times New Roman" w:cs="Times New Roman"/>
          <w:sz w:val="24"/>
          <w:szCs w:val="24"/>
        </w:rPr>
        <w:t xml:space="preserve">auditorilor de a concluziona cu privire la conformitatea prezentării situațiilor financiare în format ESEF, în cazurile în care aceștia nu au reușit să obțină probe de audit suficiente și adecvate în acest sens. Auditorii trebuie să descrie motivele </w:t>
      </w:r>
      <w:r w:rsidR="00293952">
        <w:rPr>
          <w:rFonts w:ascii="Times New Roman" w:hAnsi="Times New Roman" w:cs="Times New Roman"/>
          <w:sz w:val="24"/>
          <w:szCs w:val="24"/>
        </w:rPr>
        <w:t xml:space="preserve">care au determinat această </w:t>
      </w:r>
      <w:r w:rsidR="00BD062B">
        <w:rPr>
          <w:rFonts w:ascii="Times New Roman" w:hAnsi="Times New Roman" w:cs="Times New Roman"/>
          <w:sz w:val="24"/>
          <w:szCs w:val="24"/>
        </w:rPr>
        <w:t>imposibilit</w:t>
      </w:r>
      <w:r w:rsidR="00293952">
        <w:rPr>
          <w:rFonts w:ascii="Times New Roman" w:hAnsi="Times New Roman" w:cs="Times New Roman"/>
          <w:sz w:val="24"/>
          <w:szCs w:val="24"/>
        </w:rPr>
        <w:t>ate de a obține aceste probe</w:t>
      </w:r>
      <w:r w:rsidR="00BD062B" w:rsidRPr="007656BF">
        <w:rPr>
          <w:rFonts w:ascii="Times New Roman" w:hAnsi="Times New Roman" w:cs="Times New Roman"/>
          <w:sz w:val="24"/>
          <w:szCs w:val="24"/>
        </w:rPr>
        <w:t xml:space="preserve"> </w:t>
      </w:r>
      <w:r w:rsidRPr="007656BF">
        <w:rPr>
          <w:rFonts w:ascii="Times New Roman" w:hAnsi="Times New Roman" w:cs="Times New Roman"/>
          <w:sz w:val="24"/>
          <w:szCs w:val="24"/>
        </w:rPr>
        <w:t>în raportul de audit.</w:t>
      </w:r>
    </w:p>
    <w:p w14:paraId="125102CB" w14:textId="3945A72B" w:rsidR="00420D3F" w:rsidRPr="007656BF" w:rsidRDefault="005529F1" w:rsidP="00BD062B">
      <w:pPr>
        <w:autoSpaceDE w:val="0"/>
        <w:autoSpaceDN w:val="0"/>
        <w:adjustRightInd w:val="0"/>
        <w:spacing w:before="120" w:after="0" w:line="240" w:lineRule="auto"/>
        <w:jc w:val="both"/>
        <w:rPr>
          <w:rFonts w:ascii="Times New Roman" w:hAnsi="Times New Roman" w:cs="Times New Roman"/>
          <w:sz w:val="24"/>
          <w:szCs w:val="24"/>
        </w:rPr>
      </w:pPr>
      <w:r w:rsidRPr="007656BF">
        <w:rPr>
          <w:rFonts w:ascii="Times New Roman" w:hAnsi="Times New Roman" w:cs="Times New Roman"/>
          <w:sz w:val="24"/>
          <w:szCs w:val="24"/>
        </w:rPr>
        <w:t>1</w:t>
      </w:r>
      <w:r>
        <w:rPr>
          <w:rFonts w:ascii="Times New Roman" w:hAnsi="Times New Roman" w:cs="Times New Roman"/>
          <w:sz w:val="24"/>
          <w:szCs w:val="24"/>
        </w:rPr>
        <w:t>5</w:t>
      </w:r>
      <w:r w:rsidR="00420D3F" w:rsidRPr="007656BF">
        <w:rPr>
          <w:rFonts w:ascii="Times New Roman" w:hAnsi="Times New Roman" w:cs="Times New Roman"/>
          <w:sz w:val="24"/>
          <w:szCs w:val="24"/>
        </w:rPr>
        <w:t xml:space="preserve">. Această opinie trebuie inclusă în raportul de audit, separat de opinia de audit. În funcție de aspectul raportului de audit, această opinie poate fi </w:t>
      </w:r>
      <w:r w:rsidR="00293952">
        <w:rPr>
          <w:rFonts w:ascii="Times New Roman" w:hAnsi="Times New Roman" w:cs="Times New Roman"/>
          <w:sz w:val="24"/>
          <w:szCs w:val="24"/>
        </w:rPr>
        <w:t xml:space="preserve">adăugată </w:t>
      </w:r>
      <w:r w:rsidR="00420D3F" w:rsidRPr="007656BF">
        <w:rPr>
          <w:rFonts w:ascii="Times New Roman" w:hAnsi="Times New Roman" w:cs="Times New Roman"/>
          <w:sz w:val="24"/>
          <w:szCs w:val="24"/>
        </w:rPr>
        <w:t>într-o subsecțiune din cadrul secțiunii care descrie alte dispoziții legale și de reglementare.</w:t>
      </w:r>
    </w:p>
    <w:p w14:paraId="10E3B50F" w14:textId="1A5B5FD0" w:rsidR="00420D3F" w:rsidRPr="007656BF" w:rsidRDefault="005529F1" w:rsidP="00420D3F">
      <w:pPr>
        <w:autoSpaceDE w:val="0"/>
        <w:autoSpaceDN w:val="0"/>
        <w:adjustRightInd w:val="0"/>
        <w:spacing w:before="120" w:after="0" w:line="240" w:lineRule="auto"/>
        <w:jc w:val="both"/>
        <w:rPr>
          <w:rFonts w:ascii="Times New Roman" w:hAnsi="Times New Roman" w:cs="Times New Roman"/>
          <w:sz w:val="24"/>
          <w:szCs w:val="24"/>
        </w:rPr>
      </w:pPr>
      <w:bookmarkStart w:id="2" w:name="_Hlk86841613"/>
      <w:r w:rsidRPr="007656BF">
        <w:rPr>
          <w:rFonts w:ascii="Times New Roman" w:hAnsi="Times New Roman" w:cs="Times New Roman"/>
          <w:sz w:val="24"/>
          <w:szCs w:val="24"/>
        </w:rPr>
        <w:t>1</w:t>
      </w:r>
      <w:r>
        <w:rPr>
          <w:rFonts w:ascii="Times New Roman" w:hAnsi="Times New Roman" w:cs="Times New Roman"/>
          <w:sz w:val="24"/>
          <w:szCs w:val="24"/>
        </w:rPr>
        <w:t>6</w:t>
      </w:r>
      <w:r w:rsidR="00420D3F" w:rsidRPr="007656BF">
        <w:rPr>
          <w:rFonts w:ascii="Times New Roman" w:hAnsi="Times New Roman" w:cs="Times New Roman"/>
          <w:sz w:val="24"/>
          <w:szCs w:val="24"/>
        </w:rPr>
        <w:t xml:space="preserve">. </w:t>
      </w:r>
      <w:r w:rsidR="00420D3F" w:rsidRPr="00BA3EB5">
        <w:rPr>
          <w:rFonts w:ascii="Times New Roman" w:hAnsi="Times New Roman" w:cs="Times New Roman"/>
          <w:sz w:val="24"/>
          <w:szCs w:val="24"/>
        </w:rPr>
        <w:t xml:space="preserve">În cazul în care </w:t>
      </w:r>
      <w:r w:rsidR="005313E0">
        <w:rPr>
          <w:rFonts w:ascii="Times New Roman" w:hAnsi="Times New Roman" w:cs="Times New Roman"/>
          <w:sz w:val="24"/>
          <w:szCs w:val="24"/>
        </w:rPr>
        <w:t>se</w:t>
      </w:r>
      <w:r w:rsidR="00420D3F" w:rsidRPr="00BA3EB5">
        <w:rPr>
          <w:rFonts w:ascii="Times New Roman" w:hAnsi="Times New Roman" w:cs="Times New Roman"/>
          <w:sz w:val="24"/>
          <w:szCs w:val="24"/>
        </w:rPr>
        <w:t xml:space="preserve"> desfășoară proceduri</w:t>
      </w:r>
      <w:r w:rsidR="003E20AD">
        <w:rPr>
          <w:rFonts w:ascii="Times New Roman" w:hAnsi="Times New Roman" w:cs="Times New Roman"/>
          <w:sz w:val="24"/>
          <w:szCs w:val="24"/>
        </w:rPr>
        <w:t xml:space="preserve"> </w:t>
      </w:r>
      <w:r w:rsidR="005313E0">
        <w:rPr>
          <w:rFonts w:ascii="Times New Roman" w:hAnsi="Times New Roman" w:cs="Times New Roman"/>
          <w:sz w:val="24"/>
          <w:szCs w:val="24"/>
        </w:rPr>
        <w:t xml:space="preserve">de audit </w:t>
      </w:r>
      <w:r w:rsidR="003E20AD">
        <w:rPr>
          <w:rFonts w:ascii="Times New Roman" w:hAnsi="Times New Roman" w:cs="Times New Roman"/>
          <w:sz w:val="24"/>
          <w:szCs w:val="24"/>
        </w:rPr>
        <w:t>specifice</w:t>
      </w:r>
      <w:r w:rsidR="00420D3F" w:rsidRPr="00BA3EB5">
        <w:rPr>
          <w:rFonts w:ascii="Times New Roman" w:hAnsi="Times New Roman" w:cs="Times New Roman"/>
          <w:sz w:val="24"/>
          <w:szCs w:val="24"/>
        </w:rPr>
        <w:t xml:space="preserve"> situațiil</w:t>
      </w:r>
      <w:r w:rsidR="00F9693A">
        <w:rPr>
          <w:rFonts w:ascii="Times New Roman" w:hAnsi="Times New Roman" w:cs="Times New Roman"/>
          <w:sz w:val="24"/>
          <w:szCs w:val="24"/>
        </w:rPr>
        <w:t>or</w:t>
      </w:r>
      <w:r w:rsidR="00420D3F" w:rsidRPr="00BA3EB5">
        <w:rPr>
          <w:rFonts w:ascii="Times New Roman" w:hAnsi="Times New Roman" w:cs="Times New Roman"/>
          <w:sz w:val="24"/>
          <w:szCs w:val="24"/>
        </w:rPr>
        <w:t xml:space="preserve"> financiare </w:t>
      </w:r>
      <w:r w:rsidR="00167534">
        <w:rPr>
          <w:rFonts w:ascii="Times New Roman" w:hAnsi="Times New Roman" w:cs="Times New Roman"/>
          <w:sz w:val="24"/>
          <w:szCs w:val="24"/>
        </w:rPr>
        <w:t xml:space="preserve">anuale </w:t>
      </w:r>
      <w:r w:rsidR="00420D3F" w:rsidRPr="00BA3EB5">
        <w:rPr>
          <w:rFonts w:ascii="Times New Roman" w:hAnsi="Times New Roman" w:cs="Times New Roman"/>
          <w:sz w:val="24"/>
          <w:szCs w:val="24"/>
        </w:rPr>
        <w:t>în format ESEF</w:t>
      </w:r>
      <w:r w:rsidR="003C1B78">
        <w:rPr>
          <w:rFonts w:ascii="Times New Roman" w:hAnsi="Times New Roman" w:cs="Times New Roman"/>
          <w:sz w:val="24"/>
          <w:szCs w:val="24"/>
        </w:rPr>
        <w:t xml:space="preserve"> </w:t>
      </w:r>
      <w:r w:rsidR="00117B18" w:rsidRPr="00BA3EB5">
        <w:rPr>
          <w:rFonts w:ascii="Times New Roman" w:hAnsi="Times New Roman" w:cs="Times New Roman"/>
          <w:sz w:val="24"/>
          <w:szCs w:val="24"/>
        </w:rPr>
        <w:t>înainte ca raportul financiar anual</w:t>
      </w:r>
      <w:r w:rsidR="00117B18">
        <w:rPr>
          <w:rFonts w:ascii="Times New Roman" w:hAnsi="Times New Roman" w:cs="Times New Roman"/>
          <w:sz w:val="24"/>
          <w:szCs w:val="24"/>
        </w:rPr>
        <w:t xml:space="preserve"> </w:t>
      </w:r>
      <w:r w:rsidR="00117B18" w:rsidRPr="00BA3EB5">
        <w:rPr>
          <w:rFonts w:ascii="Times New Roman" w:hAnsi="Times New Roman" w:cs="Times New Roman"/>
          <w:sz w:val="24"/>
          <w:szCs w:val="24"/>
        </w:rPr>
        <w:t xml:space="preserve">să fie </w:t>
      </w:r>
      <w:r w:rsidR="00117B18">
        <w:rPr>
          <w:rFonts w:ascii="Times New Roman" w:hAnsi="Times New Roman" w:cs="Times New Roman"/>
          <w:sz w:val="24"/>
          <w:szCs w:val="24"/>
        </w:rPr>
        <w:t xml:space="preserve">pus la </w:t>
      </w:r>
      <w:r w:rsidR="00117B18" w:rsidRPr="00BA3EB5">
        <w:rPr>
          <w:rFonts w:ascii="Times New Roman" w:hAnsi="Times New Roman" w:cs="Times New Roman"/>
          <w:sz w:val="24"/>
          <w:szCs w:val="24"/>
        </w:rPr>
        <w:t>dispo</w:t>
      </w:r>
      <w:r w:rsidR="00117B18">
        <w:rPr>
          <w:rFonts w:ascii="Times New Roman" w:hAnsi="Times New Roman" w:cs="Times New Roman"/>
          <w:sz w:val="24"/>
          <w:szCs w:val="24"/>
        </w:rPr>
        <w:t xml:space="preserve">zitie de </w:t>
      </w:r>
      <w:r w:rsidR="004400E4">
        <w:rPr>
          <w:rFonts w:ascii="Times New Roman" w:hAnsi="Times New Roman" w:cs="Times New Roman"/>
          <w:sz w:val="24"/>
          <w:szCs w:val="24"/>
        </w:rPr>
        <w:t>către</w:t>
      </w:r>
      <w:r w:rsidR="00117B18">
        <w:rPr>
          <w:rFonts w:ascii="Times New Roman" w:hAnsi="Times New Roman" w:cs="Times New Roman"/>
          <w:sz w:val="24"/>
          <w:szCs w:val="24"/>
        </w:rPr>
        <w:t xml:space="preserve"> entitatea </w:t>
      </w:r>
      <w:r w:rsidR="004400E4">
        <w:rPr>
          <w:rFonts w:ascii="Times New Roman" w:hAnsi="Times New Roman" w:cs="Times New Roman"/>
          <w:sz w:val="24"/>
          <w:szCs w:val="24"/>
        </w:rPr>
        <w:t>auditatǎ</w:t>
      </w:r>
      <w:r w:rsidR="00117B18">
        <w:rPr>
          <w:rFonts w:ascii="Times New Roman" w:hAnsi="Times New Roman" w:cs="Times New Roman"/>
          <w:sz w:val="24"/>
          <w:szCs w:val="24"/>
        </w:rPr>
        <w:t xml:space="preserve">, </w:t>
      </w:r>
      <w:r w:rsidR="005313E0" w:rsidRPr="005313E0">
        <w:rPr>
          <w:rFonts w:ascii="Times New Roman" w:hAnsi="Times New Roman" w:cs="Times New Roman"/>
          <w:sz w:val="24"/>
          <w:szCs w:val="24"/>
        </w:rPr>
        <w:t>auditori</w:t>
      </w:r>
      <w:r w:rsidR="005313E0">
        <w:rPr>
          <w:rFonts w:ascii="Times New Roman" w:hAnsi="Times New Roman" w:cs="Times New Roman"/>
          <w:sz w:val="24"/>
          <w:szCs w:val="24"/>
        </w:rPr>
        <w:t xml:space="preserve">i vor </w:t>
      </w:r>
      <w:r w:rsidR="004400E4">
        <w:rPr>
          <w:rFonts w:ascii="Times New Roman" w:hAnsi="Times New Roman" w:cs="Times New Roman"/>
          <w:sz w:val="24"/>
          <w:szCs w:val="24"/>
        </w:rPr>
        <w:t>menţiona</w:t>
      </w:r>
      <w:r w:rsidR="005313E0">
        <w:rPr>
          <w:rFonts w:ascii="Times New Roman" w:hAnsi="Times New Roman" w:cs="Times New Roman"/>
          <w:sz w:val="24"/>
          <w:szCs w:val="24"/>
        </w:rPr>
        <w:t xml:space="preserve"> </w:t>
      </w:r>
      <w:r w:rsidR="00E3248F">
        <w:rPr>
          <w:rFonts w:ascii="Times New Roman" w:hAnsi="Times New Roman" w:cs="Times New Roman"/>
          <w:sz w:val="24"/>
          <w:szCs w:val="24"/>
        </w:rPr>
        <w:t xml:space="preserve">această informație </w:t>
      </w:r>
      <w:r w:rsidR="00485B4D">
        <w:rPr>
          <w:rFonts w:ascii="Times New Roman" w:hAnsi="Times New Roman" w:cs="Times New Roman"/>
          <w:sz w:val="24"/>
          <w:szCs w:val="24"/>
        </w:rPr>
        <w:t xml:space="preserve">în </w:t>
      </w:r>
      <w:r w:rsidR="003E20AD">
        <w:rPr>
          <w:rFonts w:ascii="Times New Roman" w:hAnsi="Times New Roman" w:cs="Times New Roman"/>
          <w:sz w:val="24"/>
          <w:szCs w:val="24"/>
        </w:rPr>
        <w:t>raportul de audit</w:t>
      </w:r>
      <w:r w:rsidR="00293952">
        <w:rPr>
          <w:rFonts w:ascii="Times New Roman" w:hAnsi="Times New Roman" w:cs="Times New Roman"/>
          <w:sz w:val="24"/>
          <w:szCs w:val="24"/>
        </w:rPr>
        <w:t>,</w:t>
      </w:r>
      <w:r w:rsidR="00420D3F" w:rsidRPr="00BA3EB5">
        <w:rPr>
          <w:rFonts w:ascii="Times New Roman" w:hAnsi="Times New Roman" w:cs="Times New Roman"/>
          <w:sz w:val="24"/>
          <w:szCs w:val="24"/>
        </w:rPr>
        <w:t xml:space="preserve"> alături de opinia cu privire la </w:t>
      </w:r>
      <w:r w:rsidR="00293952">
        <w:rPr>
          <w:rFonts w:ascii="Times New Roman" w:hAnsi="Times New Roman" w:cs="Times New Roman"/>
          <w:sz w:val="24"/>
          <w:szCs w:val="24"/>
        </w:rPr>
        <w:t xml:space="preserve">formatul </w:t>
      </w:r>
      <w:r w:rsidR="00420D3F" w:rsidRPr="00BA3EB5">
        <w:rPr>
          <w:rFonts w:ascii="Times New Roman" w:hAnsi="Times New Roman" w:cs="Times New Roman"/>
          <w:sz w:val="24"/>
          <w:szCs w:val="24"/>
        </w:rPr>
        <w:t>ESEF</w:t>
      </w:r>
      <w:r w:rsidR="003E20AD">
        <w:rPr>
          <w:rFonts w:ascii="Times New Roman" w:hAnsi="Times New Roman" w:cs="Times New Roman"/>
          <w:sz w:val="24"/>
          <w:szCs w:val="24"/>
        </w:rPr>
        <w:t>.</w:t>
      </w:r>
    </w:p>
    <w:bookmarkEnd w:id="2"/>
    <w:p w14:paraId="149D9E1F" w14:textId="7690E616" w:rsidR="00420D3F" w:rsidRPr="007656BF" w:rsidRDefault="00DA184A" w:rsidP="00420D3F">
      <w:pPr>
        <w:autoSpaceDE w:val="0"/>
        <w:autoSpaceDN w:val="0"/>
        <w:adjustRightInd w:val="0"/>
        <w:spacing w:before="120" w:after="0" w:line="240" w:lineRule="auto"/>
        <w:jc w:val="both"/>
        <w:rPr>
          <w:rFonts w:ascii="Times New Roman" w:hAnsi="Times New Roman" w:cs="Times New Roman"/>
          <w:b/>
          <w:bCs/>
          <w:sz w:val="24"/>
          <w:szCs w:val="24"/>
        </w:rPr>
      </w:pPr>
      <w:r w:rsidRPr="007656BF">
        <w:rPr>
          <w:rFonts w:ascii="Times New Roman" w:hAnsi="Times New Roman" w:cs="Times New Roman"/>
          <w:b/>
          <w:bCs/>
          <w:sz w:val="24"/>
          <w:szCs w:val="24"/>
        </w:rPr>
        <w:t xml:space="preserve">G </w:t>
      </w:r>
      <w:r w:rsidR="00420D3F" w:rsidRPr="007656BF">
        <w:rPr>
          <w:rFonts w:ascii="Times New Roman" w:hAnsi="Times New Roman" w:cs="Times New Roman"/>
          <w:b/>
          <w:bCs/>
          <w:sz w:val="24"/>
          <w:szCs w:val="24"/>
        </w:rPr>
        <w:t>– Alte aspecte</w:t>
      </w:r>
    </w:p>
    <w:p w14:paraId="75F82748" w14:textId="77777777" w:rsidR="00420D3F" w:rsidRPr="007656BF" w:rsidRDefault="00420D3F" w:rsidP="00420D3F">
      <w:pPr>
        <w:autoSpaceDE w:val="0"/>
        <w:autoSpaceDN w:val="0"/>
        <w:adjustRightInd w:val="0"/>
        <w:spacing w:before="120" w:after="0" w:line="240" w:lineRule="auto"/>
        <w:jc w:val="both"/>
        <w:rPr>
          <w:rFonts w:ascii="Times New Roman" w:hAnsi="Times New Roman" w:cs="Times New Roman"/>
          <w:i/>
          <w:iCs/>
          <w:sz w:val="24"/>
          <w:szCs w:val="24"/>
          <w:lang w:val="en-GB"/>
        </w:rPr>
      </w:pPr>
      <w:r w:rsidRPr="007656BF">
        <w:rPr>
          <w:rFonts w:ascii="Times New Roman" w:hAnsi="Times New Roman" w:cs="Times New Roman"/>
          <w:i/>
          <w:iCs/>
          <w:sz w:val="24"/>
          <w:szCs w:val="24"/>
          <w:lang w:val="en-GB"/>
        </w:rPr>
        <w:t>Independenţa</w:t>
      </w:r>
    </w:p>
    <w:p w14:paraId="67AA642F" w14:textId="3DFF7738" w:rsidR="00420D3F" w:rsidRPr="007656BF"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C14E36">
        <w:rPr>
          <w:rFonts w:ascii="Times New Roman" w:hAnsi="Times New Roman" w:cs="Times New Roman"/>
          <w:sz w:val="24"/>
          <w:szCs w:val="24"/>
        </w:rPr>
        <w:t>17</w:t>
      </w:r>
      <w:r w:rsidR="00420D3F" w:rsidRPr="00C14E36">
        <w:rPr>
          <w:rFonts w:ascii="Times New Roman" w:hAnsi="Times New Roman" w:cs="Times New Roman"/>
          <w:sz w:val="24"/>
          <w:szCs w:val="24"/>
        </w:rPr>
        <w:t xml:space="preserve">. Atunci când </w:t>
      </w:r>
      <w:r w:rsidR="00293952" w:rsidRPr="00C14E36">
        <w:rPr>
          <w:rFonts w:ascii="Times New Roman" w:hAnsi="Times New Roman" w:cs="Times New Roman"/>
          <w:sz w:val="24"/>
          <w:szCs w:val="24"/>
        </w:rPr>
        <w:t xml:space="preserve">se </w:t>
      </w:r>
      <w:r w:rsidR="00420D3F" w:rsidRPr="00C14E36">
        <w:rPr>
          <w:rFonts w:ascii="Times New Roman" w:hAnsi="Times New Roman" w:cs="Times New Roman"/>
          <w:sz w:val="24"/>
          <w:szCs w:val="24"/>
        </w:rPr>
        <w:t xml:space="preserve">efectuează proceduri privind situațiile financiare </w:t>
      </w:r>
      <w:r w:rsidR="00167534">
        <w:rPr>
          <w:rFonts w:ascii="Times New Roman" w:hAnsi="Times New Roman" w:cs="Times New Roman"/>
          <w:sz w:val="24"/>
          <w:szCs w:val="24"/>
        </w:rPr>
        <w:t xml:space="preserve">anuale </w:t>
      </w:r>
      <w:r w:rsidR="00420D3F" w:rsidRPr="00C14E36">
        <w:rPr>
          <w:rFonts w:ascii="Times New Roman" w:hAnsi="Times New Roman" w:cs="Times New Roman"/>
          <w:sz w:val="24"/>
          <w:szCs w:val="24"/>
        </w:rPr>
        <w:t xml:space="preserve">în format ESEF, auditorii </w:t>
      </w:r>
      <w:r w:rsidR="00293952" w:rsidRPr="00C14E36">
        <w:rPr>
          <w:rFonts w:ascii="Times New Roman" w:hAnsi="Times New Roman" w:cs="Times New Roman"/>
          <w:sz w:val="24"/>
          <w:szCs w:val="24"/>
        </w:rPr>
        <w:t xml:space="preserve">trebuie să </w:t>
      </w:r>
      <w:r w:rsidR="00CE0994" w:rsidRPr="00C14E36">
        <w:rPr>
          <w:rFonts w:ascii="Times New Roman" w:hAnsi="Times New Roman" w:cs="Times New Roman"/>
          <w:sz w:val="24"/>
          <w:szCs w:val="24"/>
        </w:rPr>
        <w:t>respecte</w:t>
      </w:r>
      <w:r w:rsidR="00C14E36" w:rsidRPr="00C14E36">
        <w:rPr>
          <w:rFonts w:ascii="Times New Roman" w:hAnsi="Times New Roman" w:cs="Times New Roman"/>
          <w:sz w:val="24"/>
          <w:szCs w:val="24"/>
        </w:rPr>
        <w:t xml:space="preserve"> </w:t>
      </w:r>
      <w:r w:rsidR="00420D3F" w:rsidRPr="00C14E36">
        <w:rPr>
          <w:rFonts w:ascii="Times New Roman" w:hAnsi="Times New Roman" w:cs="Times New Roman"/>
          <w:sz w:val="24"/>
          <w:szCs w:val="24"/>
        </w:rPr>
        <w:t xml:space="preserve">cerințele de independență aplicabile și </w:t>
      </w:r>
      <w:r w:rsidR="00CE0994" w:rsidRPr="00C14E36">
        <w:rPr>
          <w:rFonts w:ascii="Times New Roman" w:hAnsi="Times New Roman" w:cs="Times New Roman"/>
          <w:sz w:val="24"/>
          <w:szCs w:val="24"/>
        </w:rPr>
        <w:t xml:space="preserve">să </w:t>
      </w:r>
      <w:r w:rsidR="00420D3F" w:rsidRPr="00C14E36">
        <w:rPr>
          <w:rFonts w:ascii="Times New Roman" w:hAnsi="Times New Roman" w:cs="Times New Roman"/>
          <w:sz w:val="24"/>
          <w:szCs w:val="24"/>
        </w:rPr>
        <w:t>nu</w:t>
      </w:r>
      <w:r w:rsidR="00293952" w:rsidRPr="00C14E36">
        <w:rPr>
          <w:rFonts w:ascii="Times New Roman" w:hAnsi="Times New Roman" w:cs="Times New Roman"/>
          <w:sz w:val="24"/>
          <w:szCs w:val="24"/>
        </w:rPr>
        <w:t xml:space="preserve"> </w:t>
      </w:r>
      <w:r w:rsidR="00420D3F" w:rsidRPr="00C14E36">
        <w:rPr>
          <w:rFonts w:ascii="Times New Roman" w:hAnsi="Times New Roman" w:cs="Times New Roman"/>
          <w:sz w:val="24"/>
          <w:szCs w:val="24"/>
        </w:rPr>
        <w:t>prest</w:t>
      </w:r>
      <w:r w:rsidR="00293952" w:rsidRPr="00C14E36">
        <w:rPr>
          <w:rFonts w:ascii="Times New Roman" w:hAnsi="Times New Roman" w:cs="Times New Roman"/>
          <w:sz w:val="24"/>
          <w:szCs w:val="24"/>
        </w:rPr>
        <w:t>eze</w:t>
      </w:r>
      <w:r w:rsidR="00420D3F" w:rsidRPr="00C14E36">
        <w:rPr>
          <w:rFonts w:ascii="Times New Roman" w:hAnsi="Times New Roman" w:cs="Times New Roman"/>
          <w:sz w:val="24"/>
          <w:szCs w:val="24"/>
        </w:rPr>
        <w:t xml:space="preserve"> niciun serviciu non-audit interzis în temeiul art. 5 din Regulamentul (UE) nr. 537/2014 al Parlamentului European și al Consiliului. De asemenea, auditorii trebuie să </w:t>
      </w:r>
      <w:r w:rsidR="000339ED" w:rsidRPr="00C14E36">
        <w:rPr>
          <w:rFonts w:ascii="Times New Roman" w:hAnsi="Times New Roman" w:cs="Times New Roman"/>
          <w:sz w:val="24"/>
          <w:szCs w:val="24"/>
        </w:rPr>
        <w:t>evite</w:t>
      </w:r>
      <w:r w:rsidR="000D2C3D" w:rsidRPr="00C14E36">
        <w:rPr>
          <w:rFonts w:ascii="Times New Roman" w:hAnsi="Times New Roman" w:cs="Times New Roman"/>
          <w:sz w:val="24"/>
          <w:szCs w:val="24"/>
        </w:rPr>
        <w:t xml:space="preserve"> </w:t>
      </w:r>
      <w:r w:rsidR="00420D3F" w:rsidRPr="00C14E36">
        <w:rPr>
          <w:rFonts w:ascii="Times New Roman" w:hAnsi="Times New Roman" w:cs="Times New Roman"/>
          <w:sz w:val="24"/>
          <w:szCs w:val="24"/>
        </w:rPr>
        <w:t>orice ameninț</w:t>
      </w:r>
      <w:r w:rsidR="00C14E36" w:rsidRPr="00C14E36">
        <w:rPr>
          <w:rFonts w:ascii="Times New Roman" w:hAnsi="Times New Roman" w:cs="Times New Roman"/>
          <w:sz w:val="24"/>
          <w:szCs w:val="24"/>
        </w:rPr>
        <w:t>are</w:t>
      </w:r>
      <w:r w:rsidR="00420D3F" w:rsidRPr="00C14E36">
        <w:rPr>
          <w:rFonts w:ascii="Times New Roman" w:hAnsi="Times New Roman" w:cs="Times New Roman"/>
          <w:sz w:val="24"/>
          <w:szCs w:val="24"/>
        </w:rPr>
        <w:t xml:space="preserve"> de autorevizuire legate de ESEF.</w:t>
      </w:r>
    </w:p>
    <w:p w14:paraId="36A3E3B8" w14:textId="77777777" w:rsidR="00420D3F" w:rsidRPr="007656BF" w:rsidRDefault="00420D3F" w:rsidP="00420D3F">
      <w:pPr>
        <w:autoSpaceDE w:val="0"/>
        <w:autoSpaceDN w:val="0"/>
        <w:adjustRightInd w:val="0"/>
        <w:spacing w:before="120" w:after="0" w:line="240" w:lineRule="auto"/>
        <w:jc w:val="both"/>
        <w:rPr>
          <w:rFonts w:ascii="Times New Roman" w:hAnsi="Times New Roman" w:cs="Times New Roman"/>
          <w:i/>
          <w:iCs/>
          <w:sz w:val="24"/>
          <w:szCs w:val="24"/>
        </w:rPr>
      </w:pPr>
      <w:r w:rsidRPr="007656BF">
        <w:rPr>
          <w:rFonts w:ascii="Times New Roman" w:hAnsi="Times New Roman" w:cs="Times New Roman"/>
          <w:i/>
          <w:iCs/>
          <w:sz w:val="24"/>
          <w:szCs w:val="24"/>
        </w:rPr>
        <w:t>Scrisoarea de misiune</w:t>
      </w:r>
    </w:p>
    <w:p w14:paraId="374E4E59" w14:textId="67383B16" w:rsidR="00420D3F" w:rsidRPr="007656BF"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7656BF">
        <w:rPr>
          <w:rFonts w:ascii="Times New Roman" w:hAnsi="Times New Roman" w:cs="Times New Roman"/>
          <w:sz w:val="24"/>
          <w:szCs w:val="24"/>
        </w:rPr>
        <w:t>1</w:t>
      </w:r>
      <w:r>
        <w:rPr>
          <w:rFonts w:ascii="Times New Roman" w:hAnsi="Times New Roman" w:cs="Times New Roman"/>
          <w:sz w:val="24"/>
          <w:szCs w:val="24"/>
        </w:rPr>
        <w:t>8</w:t>
      </w:r>
      <w:r w:rsidR="00420D3F" w:rsidRPr="007656BF">
        <w:rPr>
          <w:rFonts w:ascii="Times New Roman" w:hAnsi="Times New Roman" w:cs="Times New Roman"/>
          <w:sz w:val="24"/>
          <w:szCs w:val="24"/>
        </w:rPr>
        <w:t>. Auditorii trebuie să includă elemente specifice în legătură cu ESEF în scrisoarea de angajament.</w:t>
      </w:r>
    </w:p>
    <w:p w14:paraId="429790E0" w14:textId="1779A722" w:rsidR="00420D3F" w:rsidRPr="007656BF" w:rsidRDefault="00420D3F" w:rsidP="00420D3F">
      <w:pPr>
        <w:autoSpaceDE w:val="0"/>
        <w:autoSpaceDN w:val="0"/>
        <w:adjustRightInd w:val="0"/>
        <w:spacing w:before="120" w:after="0" w:line="240" w:lineRule="auto"/>
        <w:jc w:val="both"/>
        <w:rPr>
          <w:rFonts w:ascii="Times New Roman" w:hAnsi="Times New Roman" w:cs="Times New Roman"/>
          <w:sz w:val="24"/>
          <w:szCs w:val="24"/>
        </w:rPr>
      </w:pPr>
      <w:r w:rsidRPr="007656BF">
        <w:rPr>
          <w:rFonts w:ascii="Times New Roman" w:hAnsi="Times New Roman" w:cs="Times New Roman"/>
          <w:i/>
          <w:iCs/>
          <w:sz w:val="24"/>
          <w:szCs w:val="24"/>
        </w:rPr>
        <w:t xml:space="preserve">Utilizarea </w:t>
      </w:r>
      <w:r w:rsidR="000D2C3D">
        <w:rPr>
          <w:rFonts w:ascii="Times New Roman" w:hAnsi="Times New Roman" w:cs="Times New Roman"/>
          <w:i/>
          <w:iCs/>
          <w:sz w:val="24"/>
          <w:szCs w:val="24"/>
        </w:rPr>
        <w:t xml:space="preserve">activității unui </w:t>
      </w:r>
      <w:r w:rsidRPr="007656BF">
        <w:rPr>
          <w:rFonts w:ascii="Times New Roman" w:hAnsi="Times New Roman" w:cs="Times New Roman"/>
          <w:i/>
          <w:iCs/>
          <w:sz w:val="24"/>
          <w:szCs w:val="24"/>
        </w:rPr>
        <w:t>expert</w:t>
      </w:r>
    </w:p>
    <w:p w14:paraId="7CC522EB" w14:textId="5F6FB22C" w:rsidR="00420D3F" w:rsidRPr="007656BF"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420D3F" w:rsidRPr="007656BF">
        <w:rPr>
          <w:rFonts w:ascii="Times New Roman" w:hAnsi="Times New Roman" w:cs="Times New Roman"/>
          <w:sz w:val="24"/>
          <w:szCs w:val="24"/>
        </w:rPr>
        <w:t>. Atunci când auditorii decid să utilizeze activitatea unui expert, prevederile privind utilizarea experților pentru auditul situațiilor financiare se aplică în mod similar și în această privință.</w:t>
      </w:r>
    </w:p>
    <w:p w14:paraId="000384FD" w14:textId="77777777" w:rsidR="00420D3F" w:rsidRPr="007656BF" w:rsidRDefault="00420D3F" w:rsidP="00420D3F">
      <w:pPr>
        <w:autoSpaceDE w:val="0"/>
        <w:autoSpaceDN w:val="0"/>
        <w:adjustRightInd w:val="0"/>
        <w:spacing w:before="120" w:after="0" w:line="240" w:lineRule="auto"/>
        <w:jc w:val="both"/>
        <w:rPr>
          <w:rFonts w:ascii="Times New Roman" w:hAnsi="Times New Roman" w:cs="Times New Roman"/>
          <w:i/>
          <w:iCs/>
          <w:sz w:val="24"/>
          <w:szCs w:val="24"/>
        </w:rPr>
      </w:pPr>
      <w:r w:rsidRPr="007656BF">
        <w:rPr>
          <w:rFonts w:ascii="Times New Roman" w:hAnsi="Times New Roman" w:cs="Times New Roman"/>
          <w:i/>
          <w:iCs/>
          <w:sz w:val="24"/>
          <w:szCs w:val="24"/>
        </w:rPr>
        <w:t>Comunicarea</w:t>
      </w:r>
    </w:p>
    <w:p w14:paraId="15120B04" w14:textId="5B13288F" w:rsidR="00420D3F" w:rsidRPr="007656BF"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7656BF">
        <w:rPr>
          <w:rFonts w:ascii="Times New Roman" w:hAnsi="Times New Roman" w:cs="Times New Roman"/>
          <w:sz w:val="24"/>
          <w:szCs w:val="24"/>
        </w:rPr>
        <w:lastRenderedPageBreak/>
        <w:t>2</w:t>
      </w:r>
      <w:r>
        <w:rPr>
          <w:rFonts w:ascii="Times New Roman" w:hAnsi="Times New Roman" w:cs="Times New Roman"/>
          <w:sz w:val="24"/>
          <w:szCs w:val="24"/>
        </w:rPr>
        <w:t>0</w:t>
      </w:r>
      <w:r w:rsidR="00420D3F" w:rsidRPr="007656BF">
        <w:rPr>
          <w:rFonts w:ascii="Times New Roman" w:hAnsi="Times New Roman" w:cs="Times New Roman"/>
          <w:sz w:val="24"/>
          <w:szCs w:val="24"/>
        </w:rPr>
        <w:t>. Înainte de emiterea raportului de audit, auditorii trebuie să comunice cu conducerea și, după caz, cu persoanele însărcinate cu guvernanța</w:t>
      </w:r>
      <w:r w:rsidR="00420D3F" w:rsidRPr="007656BF">
        <w:rPr>
          <w:rFonts w:ascii="Calibri" w:hAnsi="Calibri" w:cs="Calibri"/>
          <w:sz w:val="24"/>
          <w:szCs w:val="24"/>
          <w:vertAlign w:val="superscript"/>
        </w:rPr>
        <w:footnoteReference w:id="10"/>
      </w:r>
      <w:r w:rsidR="00420D3F" w:rsidRPr="007656BF">
        <w:rPr>
          <w:rFonts w:ascii="Times New Roman" w:hAnsi="Times New Roman" w:cs="Times New Roman"/>
          <w:sz w:val="24"/>
          <w:szCs w:val="24"/>
        </w:rPr>
        <w:t xml:space="preserve">, despre orice denaturări sau neconformități identificate, altele decât cele care sunt </w:t>
      </w:r>
      <w:r w:rsidR="00420D3F" w:rsidRPr="008C0722">
        <w:rPr>
          <w:rFonts w:ascii="Times New Roman" w:hAnsi="Times New Roman" w:cs="Times New Roman"/>
          <w:sz w:val="24"/>
          <w:szCs w:val="24"/>
        </w:rPr>
        <w:t>neînsemnate.</w:t>
      </w:r>
    </w:p>
    <w:p w14:paraId="7A338F97" w14:textId="77777777" w:rsidR="00420D3F" w:rsidRPr="00147194" w:rsidRDefault="00420D3F" w:rsidP="00420D3F">
      <w:pPr>
        <w:autoSpaceDE w:val="0"/>
        <w:autoSpaceDN w:val="0"/>
        <w:adjustRightInd w:val="0"/>
        <w:spacing w:before="120" w:after="0" w:line="240" w:lineRule="auto"/>
        <w:jc w:val="both"/>
        <w:rPr>
          <w:rFonts w:ascii="Times New Roman" w:hAnsi="Times New Roman" w:cs="Times New Roman"/>
          <w:i/>
          <w:iCs/>
          <w:sz w:val="24"/>
          <w:szCs w:val="24"/>
        </w:rPr>
      </w:pPr>
      <w:r w:rsidRPr="00147194">
        <w:rPr>
          <w:rFonts w:ascii="Times New Roman" w:hAnsi="Times New Roman" w:cs="Times New Roman"/>
          <w:i/>
          <w:iCs/>
          <w:sz w:val="24"/>
          <w:szCs w:val="24"/>
        </w:rPr>
        <w:t>Declarații scrise</w:t>
      </w:r>
    </w:p>
    <w:p w14:paraId="79753A5D" w14:textId="20D1264D" w:rsidR="005529F1" w:rsidRPr="00147194"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147194">
        <w:rPr>
          <w:rFonts w:ascii="Times New Roman" w:hAnsi="Times New Roman" w:cs="Times New Roman"/>
          <w:sz w:val="24"/>
          <w:szCs w:val="24"/>
        </w:rPr>
        <w:t>2</w:t>
      </w:r>
      <w:r>
        <w:rPr>
          <w:rFonts w:ascii="Times New Roman" w:hAnsi="Times New Roman" w:cs="Times New Roman"/>
          <w:sz w:val="24"/>
          <w:szCs w:val="24"/>
        </w:rPr>
        <w:t>1</w:t>
      </w:r>
      <w:r w:rsidR="00420D3F" w:rsidRPr="00147194">
        <w:rPr>
          <w:rFonts w:ascii="Times New Roman" w:hAnsi="Times New Roman" w:cs="Times New Roman"/>
          <w:sz w:val="24"/>
          <w:szCs w:val="24"/>
        </w:rPr>
        <w:t>. Auditorii trebuie să solicite includerea de prevederi specifice în legătură cu</w:t>
      </w:r>
      <w:r w:rsidR="000D2C3D">
        <w:rPr>
          <w:rFonts w:ascii="Times New Roman" w:hAnsi="Times New Roman" w:cs="Times New Roman"/>
          <w:sz w:val="24"/>
          <w:szCs w:val="24"/>
        </w:rPr>
        <w:t xml:space="preserve"> </w:t>
      </w:r>
      <w:r w:rsidR="00420D3F" w:rsidRPr="00147194">
        <w:rPr>
          <w:rFonts w:ascii="Times New Roman" w:hAnsi="Times New Roman" w:cs="Times New Roman"/>
          <w:sz w:val="24"/>
          <w:szCs w:val="24"/>
        </w:rPr>
        <w:t xml:space="preserve">ESEF în declarația scrisă a conducerii. Auditorii pot </w:t>
      </w:r>
      <w:r w:rsidR="00D54ECE">
        <w:rPr>
          <w:rFonts w:ascii="Times New Roman" w:hAnsi="Times New Roman" w:cs="Times New Roman"/>
          <w:sz w:val="24"/>
          <w:szCs w:val="24"/>
        </w:rPr>
        <w:t>stabili</w:t>
      </w:r>
      <w:r w:rsidR="00D54ECE" w:rsidRPr="00147194">
        <w:rPr>
          <w:rFonts w:ascii="Times New Roman" w:hAnsi="Times New Roman" w:cs="Times New Roman"/>
          <w:sz w:val="24"/>
          <w:szCs w:val="24"/>
        </w:rPr>
        <w:t xml:space="preserve"> </w:t>
      </w:r>
      <w:r w:rsidR="00420D3F" w:rsidRPr="00147194">
        <w:rPr>
          <w:rFonts w:ascii="Times New Roman" w:hAnsi="Times New Roman" w:cs="Times New Roman"/>
          <w:sz w:val="24"/>
          <w:szCs w:val="24"/>
        </w:rPr>
        <w:t>că este oportun să solicite o declarație scrisă specifică din partea conducerii pentru a acoperi particularitățile ESEF</w:t>
      </w:r>
      <w:r w:rsidR="000D2C3D">
        <w:rPr>
          <w:rFonts w:ascii="Times New Roman" w:hAnsi="Times New Roman" w:cs="Times New Roman"/>
          <w:sz w:val="24"/>
          <w:szCs w:val="24"/>
        </w:rPr>
        <w:t>,</w:t>
      </w:r>
      <w:r w:rsidR="00420D3F" w:rsidRPr="00147194">
        <w:rPr>
          <w:rFonts w:ascii="Times New Roman" w:hAnsi="Times New Roman" w:cs="Times New Roman"/>
          <w:sz w:val="24"/>
          <w:szCs w:val="24"/>
        </w:rPr>
        <w:t xml:space="preserve"> sau să includă astfel de </w:t>
      </w:r>
      <w:r w:rsidR="00AD49D6">
        <w:rPr>
          <w:rFonts w:ascii="Times New Roman" w:hAnsi="Times New Roman" w:cs="Times New Roman"/>
          <w:sz w:val="24"/>
          <w:szCs w:val="24"/>
        </w:rPr>
        <w:t>prevederi</w:t>
      </w:r>
      <w:r w:rsidR="00420D3F" w:rsidRPr="00147194">
        <w:rPr>
          <w:rFonts w:ascii="Times New Roman" w:hAnsi="Times New Roman" w:cs="Times New Roman"/>
          <w:sz w:val="24"/>
          <w:szCs w:val="24"/>
        </w:rPr>
        <w:t xml:space="preserve"> în declarația scrisă a conducerii emisă la finalul misiunii de audit statutar. </w:t>
      </w:r>
      <w:r w:rsidRPr="005529F1">
        <w:rPr>
          <w:rFonts w:ascii="Times New Roman" w:hAnsi="Times New Roman" w:cs="Times New Roman"/>
          <w:sz w:val="24"/>
          <w:szCs w:val="24"/>
        </w:rPr>
        <w:t>În cazul în care se desfășoară proceduri de audit specifice situațiilor financiare în format ESEF înainte ca raportul financiar anual să fie pus la dispozi</w:t>
      </w:r>
      <w:r w:rsidR="000D2C3D">
        <w:rPr>
          <w:rFonts w:ascii="Times New Roman" w:hAnsi="Times New Roman" w:cs="Times New Roman"/>
          <w:sz w:val="24"/>
          <w:szCs w:val="24"/>
        </w:rPr>
        <w:t>ț</w:t>
      </w:r>
      <w:r w:rsidRPr="005529F1">
        <w:rPr>
          <w:rFonts w:ascii="Times New Roman" w:hAnsi="Times New Roman" w:cs="Times New Roman"/>
          <w:sz w:val="24"/>
          <w:szCs w:val="24"/>
        </w:rPr>
        <w:t xml:space="preserve">ie de către entitatea auditatǎ, auditorii vor </w:t>
      </w:r>
      <w:r w:rsidR="00420D3F" w:rsidRPr="005529F1">
        <w:rPr>
          <w:rFonts w:ascii="Times New Roman" w:hAnsi="Times New Roman" w:cs="Times New Roman"/>
          <w:sz w:val="24"/>
          <w:szCs w:val="24"/>
        </w:rPr>
        <w:t>solicita conducerii să confirme, în cuprinsul declarației scrise, că situațiile financiare furnizate auditorilor sunt cele care vor fi incluse în raportul financiar anual.</w:t>
      </w:r>
    </w:p>
    <w:p w14:paraId="41C69636" w14:textId="77777777" w:rsidR="00420D3F" w:rsidRPr="00147194" w:rsidRDefault="00420D3F" w:rsidP="00420D3F">
      <w:pPr>
        <w:autoSpaceDE w:val="0"/>
        <w:autoSpaceDN w:val="0"/>
        <w:adjustRightInd w:val="0"/>
        <w:spacing w:before="120" w:after="0" w:line="240" w:lineRule="auto"/>
        <w:jc w:val="both"/>
        <w:rPr>
          <w:rFonts w:ascii="Times New Roman" w:hAnsi="Times New Roman" w:cs="Times New Roman"/>
          <w:i/>
          <w:iCs/>
          <w:sz w:val="24"/>
          <w:szCs w:val="24"/>
        </w:rPr>
      </w:pPr>
      <w:r w:rsidRPr="00147194">
        <w:rPr>
          <w:rFonts w:ascii="Times New Roman" w:hAnsi="Times New Roman" w:cs="Times New Roman"/>
          <w:i/>
          <w:iCs/>
          <w:sz w:val="24"/>
          <w:szCs w:val="24"/>
        </w:rPr>
        <w:t>Documentarea</w:t>
      </w:r>
    </w:p>
    <w:p w14:paraId="3829EFB1" w14:textId="0F8F7DF5" w:rsidR="00420D3F" w:rsidRPr="00147194"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147194">
        <w:rPr>
          <w:rFonts w:ascii="Times New Roman" w:hAnsi="Times New Roman" w:cs="Times New Roman"/>
          <w:sz w:val="24"/>
          <w:szCs w:val="24"/>
        </w:rPr>
        <w:t>2</w:t>
      </w:r>
      <w:r>
        <w:rPr>
          <w:rFonts w:ascii="Times New Roman" w:hAnsi="Times New Roman" w:cs="Times New Roman"/>
          <w:sz w:val="24"/>
          <w:szCs w:val="24"/>
        </w:rPr>
        <w:t>2</w:t>
      </w:r>
      <w:r w:rsidR="00420D3F" w:rsidRPr="00147194">
        <w:rPr>
          <w:rFonts w:ascii="Times New Roman" w:hAnsi="Times New Roman" w:cs="Times New Roman"/>
          <w:sz w:val="24"/>
          <w:szCs w:val="24"/>
        </w:rPr>
        <w:t>. Cerințele generale privind documentarea într-un audit al situațiilor financiare se aplică și procedurilor efectuate asupra situațiile financiare în format ESEF.</w:t>
      </w:r>
    </w:p>
    <w:p w14:paraId="2C0BEB46" w14:textId="739795A7" w:rsidR="00420D3F" w:rsidRPr="00147194" w:rsidRDefault="00420D3F" w:rsidP="00420D3F">
      <w:pPr>
        <w:autoSpaceDE w:val="0"/>
        <w:autoSpaceDN w:val="0"/>
        <w:adjustRightInd w:val="0"/>
        <w:spacing w:before="120" w:after="0" w:line="240" w:lineRule="auto"/>
        <w:jc w:val="both"/>
        <w:rPr>
          <w:rFonts w:ascii="Times New Roman" w:hAnsi="Times New Roman" w:cs="Times New Roman"/>
          <w:i/>
          <w:iCs/>
          <w:sz w:val="24"/>
          <w:szCs w:val="24"/>
        </w:rPr>
      </w:pPr>
      <w:r w:rsidRPr="00147194">
        <w:rPr>
          <w:rFonts w:ascii="Times New Roman" w:hAnsi="Times New Roman" w:cs="Times New Roman"/>
          <w:i/>
          <w:iCs/>
          <w:sz w:val="24"/>
          <w:szCs w:val="24"/>
        </w:rPr>
        <w:t xml:space="preserve">Audituri </w:t>
      </w:r>
      <w:r w:rsidR="00D10D4F" w:rsidRPr="00147194">
        <w:rPr>
          <w:rFonts w:ascii="Times New Roman" w:hAnsi="Times New Roman" w:cs="Times New Roman"/>
          <w:i/>
          <w:iCs/>
          <w:sz w:val="24"/>
          <w:szCs w:val="24"/>
        </w:rPr>
        <w:t>e</w:t>
      </w:r>
      <w:r w:rsidR="00D10D4F">
        <w:rPr>
          <w:rFonts w:ascii="Times New Roman" w:hAnsi="Times New Roman" w:cs="Times New Roman"/>
          <w:i/>
          <w:iCs/>
          <w:sz w:val="24"/>
          <w:szCs w:val="24"/>
        </w:rPr>
        <w:t>fectuate</w:t>
      </w:r>
      <w:r w:rsidR="00D10D4F" w:rsidRPr="00147194">
        <w:rPr>
          <w:rFonts w:ascii="Times New Roman" w:hAnsi="Times New Roman" w:cs="Times New Roman"/>
          <w:i/>
          <w:iCs/>
          <w:sz w:val="24"/>
          <w:szCs w:val="24"/>
        </w:rPr>
        <w:t xml:space="preserve"> </w:t>
      </w:r>
      <w:r w:rsidRPr="00147194">
        <w:rPr>
          <w:rFonts w:ascii="Times New Roman" w:hAnsi="Times New Roman" w:cs="Times New Roman"/>
          <w:i/>
          <w:iCs/>
          <w:sz w:val="24"/>
          <w:szCs w:val="24"/>
        </w:rPr>
        <w:t>în comun</w:t>
      </w:r>
    </w:p>
    <w:p w14:paraId="1F3113EF" w14:textId="0EDFE132" w:rsidR="00420D3F" w:rsidRPr="00147194"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147194">
        <w:rPr>
          <w:rFonts w:ascii="Times New Roman" w:hAnsi="Times New Roman" w:cs="Times New Roman"/>
          <w:sz w:val="24"/>
          <w:szCs w:val="24"/>
        </w:rPr>
        <w:t>2</w:t>
      </w:r>
      <w:r>
        <w:rPr>
          <w:rFonts w:ascii="Times New Roman" w:hAnsi="Times New Roman" w:cs="Times New Roman"/>
          <w:sz w:val="24"/>
          <w:szCs w:val="24"/>
        </w:rPr>
        <w:t>3</w:t>
      </w:r>
      <w:r w:rsidR="00420D3F" w:rsidRPr="00147194">
        <w:rPr>
          <w:rFonts w:ascii="Times New Roman" w:hAnsi="Times New Roman" w:cs="Times New Roman"/>
          <w:sz w:val="24"/>
          <w:szCs w:val="24"/>
        </w:rPr>
        <w:t xml:space="preserve">. Atunci când misiunea de audit este efectuată în comun, auditorii numiți pentru misiune convin asupra modului de alocare </w:t>
      </w:r>
      <w:r w:rsidR="00D10D4F">
        <w:rPr>
          <w:rFonts w:ascii="Times New Roman" w:hAnsi="Times New Roman" w:cs="Times New Roman"/>
          <w:sz w:val="24"/>
          <w:szCs w:val="24"/>
        </w:rPr>
        <w:t xml:space="preserve">a </w:t>
      </w:r>
      <w:r w:rsidR="00420D3F" w:rsidRPr="00147194">
        <w:rPr>
          <w:rFonts w:ascii="Times New Roman" w:hAnsi="Times New Roman" w:cs="Times New Roman"/>
          <w:sz w:val="24"/>
          <w:szCs w:val="24"/>
        </w:rPr>
        <w:t>activității referitoare la procedurile efectuate asupra situațiilor financiare în format ESEF și fiecare auditor comun efectuează o revizuire a muncii efectuate de celălalt auditor pentru a evalua dacă procedurile efectuate corespund celor planificate, dacă au fost obținute probe de audit suficiente și adecvate și dacă opinia este adecvată.</w:t>
      </w:r>
    </w:p>
    <w:p w14:paraId="148EBE45" w14:textId="3DCEEFB0" w:rsidR="00420D3F" w:rsidRPr="00147194" w:rsidRDefault="005529F1" w:rsidP="00420D3F">
      <w:pPr>
        <w:autoSpaceDE w:val="0"/>
        <w:autoSpaceDN w:val="0"/>
        <w:adjustRightInd w:val="0"/>
        <w:spacing w:before="120" w:after="0" w:line="240" w:lineRule="auto"/>
        <w:jc w:val="both"/>
        <w:rPr>
          <w:rFonts w:ascii="Times New Roman" w:hAnsi="Times New Roman" w:cs="Times New Roman"/>
          <w:sz w:val="24"/>
          <w:szCs w:val="24"/>
        </w:rPr>
      </w:pPr>
      <w:r w:rsidRPr="00147194">
        <w:rPr>
          <w:rFonts w:ascii="Times New Roman" w:hAnsi="Times New Roman" w:cs="Times New Roman"/>
          <w:sz w:val="24"/>
          <w:szCs w:val="24"/>
        </w:rPr>
        <w:t>2</w:t>
      </w:r>
      <w:r>
        <w:rPr>
          <w:rFonts w:ascii="Times New Roman" w:hAnsi="Times New Roman" w:cs="Times New Roman"/>
          <w:sz w:val="24"/>
          <w:szCs w:val="24"/>
        </w:rPr>
        <w:t>4</w:t>
      </w:r>
      <w:r w:rsidR="00420D3F" w:rsidRPr="00147194">
        <w:rPr>
          <w:rFonts w:ascii="Times New Roman" w:hAnsi="Times New Roman" w:cs="Times New Roman"/>
          <w:sz w:val="24"/>
          <w:szCs w:val="24"/>
        </w:rPr>
        <w:t>. Auditorii comuni trebuie să comunice împreună și într-o manieră coordonată cu conducerea și, după caz, cu persoanele însărcinate cu guvernanța.</w:t>
      </w:r>
      <w:r w:rsidR="00420D3F" w:rsidRPr="00147194">
        <w:rPr>
          <w:rFonts w:ascii="Times New Roman" w:hAnsi="Times New Roman" w:cs="Times New Roman"/>
          <w:sz w:val="24"/>
          <w:szCs w:val="24"/>
          <w:vertAlign w:val="superscript"/>
        </w:rPr>
        <w:footnoteReference w:id="11"/>
      </w:r>
      <w:r w:rsidR="00420D3F" w:rsidRPr="00147194">
        <w:rPr>
          <w:rFonts w:ascii="Times New Roman" w:hAnsi="Times New Roman" w:cs="Times New Roman"/>
          <w:sz w:val="24"/>
          <w:szCs w:val="24"/>
        </w:rPr>
        <w:t xml:space="preserve"> </w:t>
      </w:r>
    </w:p>
    <w:p w14:paraId="6DDAF46A" w14:textId="780908D1" w:rsidR="00FB7A61" w:rsidRDefault="00FB7A61"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0DA42E85" w14:textId="7859108C" w:rsidR="00FB7A61" w:rsidRDefault="00FB7A61"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0BDCC55F" w14:textId="2F8C8064" w:rsidR="0046319C" w:rsidRDefault="0046319C"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3C263C9E" w14:textId="21F04D65" w:rsidR="0046319C" w:rsidRDefault="0046319C"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1AD5E6EC" w14:textId="1B08AD4D" w:rsidR="0046319C" w:rsidRDefault="0046319C"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36ED13FA" w14:textId="7D585580" w:rsidR="0046319C" w:rsidRDefault="0046319C"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40D51AA4" w14:textId="4A6BEB41" w:rsidR="00416E05" w:rsidRDefault="00416E05"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292D091C" w14:textId="3FC3519C" w:rsidR="00416E05" w:rsidRDefault="00416E05"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431EB0BA" w14:textId="0B6EAE5C" w:rsidR="00416E05" w:rsidRDefault="00416E05"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3023AA48" w14:textId="63486219" w:rsidR="00416E05" w:rsidRDefault="00416E05"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6AE84008" w14:textId="450067A4" w:rsidR="00416E05" w:rsidRDefault="00416E05"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3B94E5E8" w14:textId="5A44BB43" w:rsidR="005529F1" w:rsidRDefault="005529F1"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51102468" w14:textId="77777777" w:rsidR="0046319C" w:rsidRPr="000E6319" w:rsidRDefault="0046319C" w:rsidP="0046319C">
      <w:pPr>
        <w:autoSpaceDE w:val="0"/>
        <w:autoSpaceDN w:val="0"/>
        <w:adjustRightInd w:val="0"/>
        <w:spacing w:before="120" w:after="0" w:line="240" w:lineRule="auto"/>
        <w:jc w:val="both"/>
        <w:rPr>
          <w:rFonts w:ascii="Times New Roman" w:hAnsi="Times New Roman" w:cs="Times New Roman"/>
          <w:b/>
          <w:bCs/>
          <w:sz w:val="24"/>
          <w:szCs w:val="24"/>
        </w:rPr>
      </w:pPr>
      <w:r w:rsidRPr="000E6319">
        <w:rPr>
          <w:rFonts w:ascii="Times New Roman" w:hAnsi="Times New Roman" w:cs="Times New Roman"/>
          <w:b/>
          <w:bCs/>
          <w:sz w:val="24"/>
          <w:szCs w:val="24"/>
        </w:rPr>
        <w:lastRenderedPageBreak/>
        <w:t>Anexa 1 – „Cerințe statutare relevante”</w:t>
      </w:r>
    </w:p>
    <w:p w14:paraId="1B49E462" w14:textId="43C81037" w:rsidR="0046319C" w:rsidRPr="000E6319" w:rsidRDefault="0046319C" w:rsidP="0046319C">
      <w:pPr>
        <w:autoSpaceDE w:val="0"/>
        <w:autoSpaceDN w:val="0"/>
        <w:adjustRightInd w:val="0"/>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xml:space="preserve">Cerințele statutare relevante sunt stabilite </w:t>
      </w:r>
      <w:r w:rsidR="000D2C3D">
        <w:rPr>
          <w:rFonts w:ascii="Times New Roman" w:hAnsi="Times New Roman" w:cs="Times New Roman"/>
          <w:sz w:val="24"/>
          <w:szCs w:val="24"/>
        </w:rPr>
        <w:t>la</w:t>
      </w:r>
      <w:r w:rsidRPr="000E6319">
        <w:rPr>
          <w:rFonts w:ascii="Times New Roman" w:hAnsi="Times New Roman" w:cs="Times New Roman"/>
          <w:sz w:val="24"/>
          <w:szCs w:val="24"/>
        </w:rPr>
        <w:t xml:space="preserve"> Întrebarea 2.2 din Comunicarea interpretativă a Comisiei 2020/C379/01 privind întocmirea, auditul și publicarea situațiilor financiare incluse în rapoartele financiare anuale elaborate în conformitate cu Regulamentul </w:t>
      </w:r>
      <w:r w:rsidR="003C4E33" w:rsidRPr="003C4E33">
        <w:rPr>
          <w:rFonts w:ascii="Times New Roman" w:hAnsi="Times New Roman" w:cs="Times New Roman"/>
          <w:sz w:val="24"/>
          <w:szCs w:val="24"/>
        </w:rPr>
        <w:t xml:space="preserve">delegat </w:t>
      </w:r>
      <w:r w:rsidRPr="000E6319">
        <w:rPr>
          <w:rFonts w:ascii="Times New Roman" w:hAnsi="Times New Roman" w:cs="Times New Roman"/>
          <w:sz w:val="24"/>
          <w:szCs w:val="24"/>
        </w:rPr>
        <w:t>ESEF (Comunicarea 2020/C379/01).</w:t>
      </w:r>
    </w:p>
    <w:p w14:paraId="1B184B6C" w14:textId="12EEDC13" w:rsidR="0046319C" w:rsidRPr="000E6319" w:rsidRDefault="0046319C" w:rsidP="0046319C">
      <w:pPr>
        <w:autoSpaceDE w:val="0"/>
        <w:autoSpaceDN w:val="0"/>
        <w:adjustRightInd w:val="0"/>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xml:space="preserve">Pentru a furniza o opinie de audit cu privire la conformitatea situațiilor financiare cu „cerințele statutare relevante” prevăzute în regulament, auditorii trebuie să verifice conformitatea situațiilor financiare ale emitenților cu dispozițiile Regulamentului </w:t>
      </w:r>
      <w:r w:rsidR="003C4E33" w:rsidRPr="003C4E33">
        <w:rPr>
          <w:rFonts w:ascii="Times New Roman" w:hAnsi="Times New Roman" w:cs="Times New Roman"/>
          <w:sz w:val="24"/>
          <w:szCs w:val="24"/>
        </w:rPr>
        <w:t xml:space="preserve">delegat </w:t>
      </w:r>
      <w:r w:rsidRPr="000E6319">
        <w:rPr>
          <w:rFonts w:ascii="Times New Roman" w:hAnsi="Times New Roman" w:cs="Times New Roman"/>
          <w:sz w:val="24"/>
          <w:szCs w:val="24"/>
        </w:rPr>
        <w:t>ESEF care sunt aplicabile situațiilor financiare. „Cerințele statutare relevante” sunt următoarele:</w:t>
      </w:r>
    </w:p>
    <w:p w14:paraId="72518FE6" w14:textId="4BF3E9B8" w:rsidR="0046319C" w:rsidRPr="000E6319" w:rsidRDefault="0046319C" w:rsidP="0046319C">
      <w:pPr>
        <w:numPr>
          <w:ilvl w:val="0"/>
          <w:numId w:val="20"/>
        </w:numPr>
        <w:spacing w:before="120" w:after="0" w:line="240" w:lineRule="auto"/>
        <w:ind w:left="360" w:hanging="360"/>
        <w:contextualSpacing/>
        <w:jc w:val="both"/>
        <w:rPr>
          <w:rFonts w:ascii="Times New Roman" w:hAnsi="Times New Roman" w:cs="Times New Roman"/>
          <w:sz w:val="24"/>
          <w:szCs w:val="24"/>
        </w:rPr>
      </w:pPr>
      <w:r w:rsidRPr="000E6319">
        <w:rPr>
          <w:rFonts w:ascii="Times New Roman" w:hAnsi="Times New Roman" w:cs="Times New Roman"/>
          <w:sz w:val="24"/>
          <w:szCs w:val="24"/>
        </w:rPr>
        <w:t xml:space="preserve">toate situațiile financiare care sunt incluse în raportul financiar anual trebuie să fie întocmite într-un format XHTML valabil; </w:t>
      </w:r>
    </w:p>
    <w:p w14:paraId="3E0A4EF6" w14:textId="4C1F8B7E" w:rsidR="0046319C" w:rsidRPr="000E6319" w:rsidRDefault="0046319C" w:rsidP="0046319C">
      <w:pPr>
        <w:numPr>
          <w:ilvl w:val="0"/>
          <w:numId w:val="20"/>
        </w:numPr>
        <w:spacing w:before="120" w:after="0" w:line="240" w:lineRule="auto"/>
        <w:ind w:left="360" w:hanging="360"/>
        <w:contextualSpacing/>
        <w:jc w:val="both"/>
        <w:rPr>
          <w:rFonts w:ascii="Times New Roman" w:hAnsi="Times New Roman" w:cs="Times New Roman"/>
          <w:sz w:val="24"/>
          <w:szCs w:val="24"/>
        </w:rPr>
      </w:pPr>
      <w:r w:rsidRPr="000E6319">
        <w:rPr>
          <w:rFonts w:ascii="Times New Roman" w:hAnsi="Times New Roman" w:cs="Times New Roman"/>
          <w:sz w:val="24"/>
          <w:szCs w:val="24"/>
        </w:rPr>
        <w:t xml:space="preserve">pentru toate </w:t>
      </w:r>
      <w:bookmarkStart w:id="4" w:name="_Hlk98939113"/>
      <w:r w:rsidRPr="000E6319">
        <w:rPr>
          <w:rFonts w:ascii="Times New Roman" w:hAnsi="Times New Roman" w:cs="Times New Roman"/>
          <w:sz w:val="24"/>
          <w:szCs w:val="24"/>
        </w:rPr>
        <w:t xml:space="preserve">situațiile financiare consolidate întocmite în conformitate cu </w:t>
      </w:r>
      <w:r w:rsidRPr="00BF4C14">
        <w:rPr>
          <w:rFonts w:ascii="Times New Roman" w:hAnsi="Times New Roman" w:cs="Times New Roman"/>
          <w:sz w:val="24"/>
          <w:szCs w:val="24"/>
        </w:rPr>
        <w:t>IFRS</w:t>
      </w:r>
      <w:r w:rsidRPr="000E6319">
        <w:rPr>
          <w:rFonts w:ascii="Times New Roman" w:hAnsi="Times New Roman" w:cs="Times New Roman"/>
          <w:sz w:val="24"/>
          <w:szCs w:val="24"/>
        </w:rPr>
        <w:t>, astfel cum au fost adoptate de UE</w:t>
      </w:r>
      <w:bookmarkEnd w:id="4"/>
      <w:r w:rsidR="00443166">
        <w:rPr>
          <w:rStyle w:val="Referinnotdesubsol"/>
          <w:rFonts w:ascii="Times New Roman" w:hAnsi="Times New Roman" w:cs="Times New Roman"/>
          <w:sz w:val="24"/>
          <w:szCs w:val="24"/>
        </w:rPr>
        <w:footnoteReference w:id="12"/>
      </w:r>
      <w:r w:rsidRPr="000E6319">
        <w:rPr>
          <w:rFonts w:ascii="Times New Roman" w:hAnsi="Times New Roman" w:cs="Times New Roman"/>
          <w:sz w:val="24"/>
          <w:szCs w:val="24"/>
        </w:rPr>
        <w:t>, sau cu IFRS, astfel cum au fost adoptate de IASB</w:t>
      </w:r>
      <w:r w:rsidR="003F653F" w:rsidRPr="00147194">
        <w:rPr>
          <w:rFonts w:ascii="Times New Roman" w:hAnsi="Times New Roman" w:cs="Times New Roman"/>
          <w:sz w:val="24"/>
          <w:szCs w:val="24"/>
          <w:vertAlign w:val="superscript"/>
        </w:rPr>
        <w:footnoteReference w:id="13"/>
      </w:r>
      <w:r w:rsidRPr="000E6319">
        <w:rPr>
          <w:rFonts w:ascii="Times New Roman" w:hAnsi="Times New Roman" w:cs="Times New Roman"/>
          <w:sz w:val="24"/>
          <w:szCs w:val="24"/>
        </w:rPr>
        <w:t xml:space="preserve">; </w:t>
      </w:r>
    </w:p>
    <w:p w14:paraId="03D236DB" w14:textId="0DAF67AC" w:rsidR="00876D9E" w:rsidRDefault="0046319C" w:rsidP="0046319C">
      <w:pPr>
        <w:numPr>
          <w:ilvl w:val="1"/>
          <w:numId w:val="21"/>
        </w:numPr>
        <w:spacing w:before="120" w:after="0" w:line="240" w:lineRule="auto"/>
        <w:ind w:left="54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 xml:space="preserve">trebuie marcate informațiile specificate în </w:t>
      </w:r>
      <w:r w:rsidR="003F653F">
        <w:rPr>
          <w:rFonts w:ascii="Times New Roman" w:hAnsi="Times New Roman" w:cs="Times New Roman"/>
          <w:sz w:val="24"/>
          <w:szCs w:val="24"/>
        </w:rPr>
        <w:t>A</w:t>
      </w:r>
      <w:r w:rsidRPr="000E6319">
        <w:rPr>
          <w:rFonts w:ascii="Times New Roman" w:hAnsi="Times New Roman" w:cs="Times New Roman"/>
          <w:sz w:val="24"/>
          <w:szCs w:val="24"/>
        </w:rPr>
        <w:t xml:space="preserve">nexa </w:t>
      </w:r>
      <w:r w:rsidR="0003710C">
        <w:rPr>
          <w:rFonts w:ascii="Times New Roman" w:hAnsi="Times New Roman" w:cs="Times New Roman"/>
          <w:sz w:val="24"/>
          <w:szCs w:val="24"/>
        </w:rPr>
        <w:t xml:space="preserve">a </w:t>
      </w:r>
      <w:r w:rsidRPr="000E6319">
        <w:rPr>
          <w:rFonts w:ascii="Times New Roman" w:hAnsi="Times New Roman" w:cs="Times New Roman"/>
          <w:sz w:val="24"/>
          <w:szCs w:val="24"/>
        </w:rPr>
        <w:t>II</w:t>
      </w:r>
      <w:r w:rsidR="0003710C">
        <w:rPr>
          <w:rFonts w:ascii="Times New Roman" w:hAnsi="Times New Roman" w:cs="Times New Roman"/>
          <w:sz w:val="24"/>
          <w:szCs w:val="24"/>
        </w:rPr>
        <w:t>-a</w:t>
      </w:r>
      <w:r w:rsidRPr="000E6319">
        <w:rPr>
          <w:rFonts w:ascii="Times New Roman" w:hAnsi="Times New Roman" w:cs="Times New Roman"/>
          <w:sz w:val="24"/>
          <w:szCs w:val="24"/>
        </w:rPr>
        <w:t xml:space="preserve"> a Regulamentul</w:t>
      </w:r>
      <w:r w:rsidR="0003710C">
        <w:rPr>
          <w:rFonts w:ascii="Times New Roman" w:hAnsi="Times New Roman" w:cs="Times New Roman"/>
          <w:sz w:val="24"/>
          <w:szCs w:val="24"/>
        </w:rPr>
        <w:t>ui</w:t>
      </w:r>
      <w:r w:rsidRPr="000E6319">
        <w:rPr>
          <w:rFonts w:ascii="Times New Roman" w:hAnsi="Times New Roman" w:cs="Times New Roman"/>
          <w:sz w:val="24"/>
          <w:szCs w:val="24"/>
        </w:rPr>
        <w:t xml:space="preserve"> </w:t>
      </w:r>
      <w:r w:rsidR="003C4E33" w:rsidRPr="003C4E33">
        <w:rPr>
          <w:rFonts w:ascii="Times New Roman" w:hAnsi="Times New Roman" w:cs="Times New Roman"/>
          <w:sz w:val="24"/>
          <w:szCs w:val="24"/>
        </w:rPr>
        <w:t xml:space="preserve">delegat </w:t>
      </w:r>
      <w:r w:rsidRPr="000E6319">
        <w:rPr>
          <w:rFonts w:ascii="Times New Roman" w:hAnsi="Times New Roman" w:cs="Times New Roman"/>
          <w:sz w:val="24"/>
          <w:szCs w:val="24"/>
        </w:rPr>
        <w:t xml:space="preserve">ESEF, în cazul în care informațiile în cauză sunt prezente în situațiile financiare consolidate respective; </w:t>
      </w:r>
    </w:p>
    <w:p w14:paraId="5D8623C2" w14:textId="45240E8B" w:rsidR="0046319C" w:rsidRPr="000E6319" w:rsidRDefault="0046319C" w:rsidP="0046319C">
      <w:pPr>
        <w:numPr>
          <w:ilvl w:val="1"/>
          <w:numId w:val="21"/>
        </w:numPr>
        <w:spacing w:before="120" w:after="0" w:line="240" w:lineRule="auto"/>
        <w:ind w:left="54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 xml:space="preserve">toate marcajele, inclusiv </w:t>
      </w:r>
      <w:r w:rsidRPr="00876D9E">
        <w:rPr>
          <w:rFonts w:ascii="Times New Roman" w:hAnsi="Times New Roman" w:cs="Times New Roman"/>
          <w:sz w:val="24"/>
          <w:szCs w:val="24"/>
        </w:rPr>
        <w:t xml:space="preserve">marcajele voluntare </w:t>
      </w:r>
      <w:r w:rsidRPr="000E6319">
        <w:rPr>
          <w:rFonts w:ascii="Times New Roman" w:hAnsi="Times New Roman" w:cs="Times New Roman"/>
          <w:sz w:val="24"/>
          <w:szCs w:val="24"/>
        </w:rPr>
        <w:t>ale informații</w:t>
      </w:r>
      <w:r w:rsidR="002746FB">
        <w:rPr>
          <w:rFonts w:ascii="Times New Roman" w:hAnsi="Times New Roman" w:cs="Times New Roman"/>
          <w:sz w:val="24"/>
          <w:szCs w:val="24"/>
        </w:rPr>
        <w:t>lor prezentate, altele</w:t>
      </w:r>
      <w:r w:rsidRPr="000E6319">
        <w:rPr>
          <w:rFonts w:ascii="Times New Roman" w:hAnsi="Times New Roman" w:cs="Times New Roman"/>
          <w:sz w:val="24"/>
          <w:szCs w:val="24"/>
        </w:rPr>
        <w:t xml:space="preserve"> decât cele specificate în </w:t>
      </w:r>
      <w:r w:rsidR="0003710C">
        <w:rPr>
          <w:rFonts w:ascii="Times New Roman" w:hAnsi="Times New Roman" w:cs="Times New Roman"/>
          <w:sz w:val="24"/>
          <w:szCs w:val="24"/>
        </w:rPr>
        <w:t>A</w:t>
      </w:r>
      <w:r w:rsidRPr="000E6319">
        <w:rPr>
          <w:rFonts w:ascii="Times New Roman" w:hAnsi="Times New Roman" w:cs="Times New Roman"/>
          <w:sz w:val="24"/>
          <w:szCs w:val="24"/>
        </w:rPr>
        <w:t xml:space="preserve">nexa </w:t>
      </w:r>
      <w:r w:rsidR="0003710C">
        <w:rPr>
          <w:rFonts w:ascii="Times New Roman" w:hAnsi="Times New Roman" w:cs="Times New Roman"/>
          <w:sz w:val="24"/>
          <w:szCs w:val="24"/>
        </w:rPr>
        <w:t xml:space="preserve">a </w:t>
      </w:r>
      <w:r w:rsidRPr="000E6319">
        <w:rPr>
          <w:rFonts w:ascii="Times New Roman" w:hAnsi="Times New Roman" w:cs="Times New Roman"/>
          <w:sz w:val="24"/>
          <w:szCs w:val="24"/>
        </w:rPr>
        <w:t>II</w:t>
      </w:r>
      <w:r w:rsidR="0003710C">
        <w:rPr>
          <w:rFonts w:ascii="Times New Roman" w:hAnsi="Times New Roman" w:cs="Times New Roman"/>
          <w:sz w:val="24"/>
          <w:szCs w:val="24"/>
        </w:rPr>
        <w:t>-a</w:t>
      </w:r>
      <w:r w:rsidRPr="000E6319">
        <w:rPr>
          <w:rFonts w:ascii="Times New Roman" w:hAnsi="Times New Roman" w:cs="Times New Roman"/>
          <w:sz w:val="24"/>
          <w:szCs w:val="24"/>
        </w:rPr>
        <w:t xml:space="preserve"> trebuie să îndeplinească următoarele cerințe: </w:t>
      </w:r>
    </w:p>
    <w:p w14:paraId="7E16A629" w14:textId="77777777" w:rsidR="0046319C" w:rsidRPr="002C0FF9" w:rsidRDefault="0046319C" w:rsidP="0046319C">
      <w:pPr>
        <w:numPr>
          <w:ilvl w:val="1"/>
          <w:numId w:val="22"/>
        </w:numPr>
        <w:spacing w:before="120" w:after="0" w:line="240" w:lineRule="auto"/>
        <w:ind w:left="720" w:hanging="180"/>
        <w:contextualSpacing/>
        <w:jc w:val="both"/>
        <w:rPr>
          <w:rFonts w:ascii="Times New Roman" w:hAnsi="Times New Roman" w:cs="Times New Roman"/>
          <w:sz w:val="24"/>
          <w:szCs w:val="24"/>
        </w:rPr>
      </w:pPr>
      <w:r w:rsidRPr="002C0FF9">
        <w:rPr>
          <w:rFonts w:ascii="Times New Roman" w:hAnsi="Times New Roman" w:cs="Times New Roman"/>
          <w:sz w:val="24"/>
          <w:szCs w:val="24"/>
        </w:rPr>
        <w:t xml:space="preserve">să utilizeze limbajul de marcare XBRL; </w:t>
      </w:r>
    </w:p>
    <w:p w14:paraId="45F1672F" w14:textId="5F99A6C7" w:rsidR="0046319C" w:rsidRPr="000E6319" w:rsidRDefault="0046319C" w:rsidP="0046319C">
      <w:pPr>
        <w:numPr>
          <w:ilvl w:val="1"/>
          <w:numId w:val="22"/>
        </w:numPr>
        <w:spacing w:before="120" w:after="0" w:line="240" w:lineRule="auto"/>
        <w:ind w:left="72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 xml:space="preserve">să utilizeze elementele taxonomiei de bază specificate în </w:t>
      </w:r>
      <w:r w:rsidR="002746FB">
        <w:rPr>
          <w:rFonts w:ascii="Times New Roman" w:hAnsi="Times New Roman" w:cs="Times New Roman"/>
          <w:sz w:val="24"/>
          <w:szCs w:val="24"/>
        </w:rPr>
        <w:t>A</w:t>
      </w:r>
      <w:r w:rsidRPr="000E6319">
        <w:rPr>
          <w:rFonts w:ascii="Times New Roman" w:hAnsi="Times New Roman" w:cs="Times New Roman"/>
          <w:sz w:val="24"/>
          <w:szCs w:val="24"/>
        </w:rPr>
        <w:t xml:space="preserve">nexa </w:t>
      </w:r>
      <w:r w:rsidR="0003710C">
        <w:rPr>
          <w:rFonts w:ascii="Times New Roman" w:hAnsi="Times New Roman" w:cs="Times New Roman"/>
          <w:sz w:val="24"/>
          <w:szCs w:val="24"/>
        </w:rPr>
        <w:t xml:space="preserve">a </w:t>
      </w:r>
      <w:r w:rsidRPr="000E6319">
        <w:rPr>
          <w:rFonts w:ascii="Times New Roman" w:hAnsi="Times New Roman" w:cs="Times New Roman"/>
          <w:sz w:val="24"/>
          <w:szCs w:val="24"/>
        </w:rPr>
        <w:t>VI</w:t>
      </w:r>
      <w:r w:rsidR="0003710C">
        <w:rPr>
          <w:rFonts w:ascii="Times New Roman" w:hAnsi="Times New Roman" w:cs="Times New Roman"/>
          <w:sz w:val="24"/>
          <w:szCs w:val="24"/>
        </w:rPr>
        <w:t>-a</w:t>
      </w:r>
      <w:r w:rsidRPr="000E6319">
        <w:rPr>
          <w:rFonts w:ascii="Times New Roman" w:hAnsi="Times New Roman" w:cs="Times New Roman"/>
          <w:sz w:val="24"/>
          <w:szCs w:val="24"/>
        </w:rPr>
        <w:t xml:space="preserve"> a Regulamentul</w:t>
      </w:r>
      <w:r w:rsidR="0003710C">
        <w:rPr>
          <w:rFonts w:ascii="Times New Roman" w:hAnsi="Times New Roman" w:cs="Times New Roman"/>
          <w:sz w:val="24"/>
          <w:szCs w:val="24"/>
        </w:rPr>
        <w:t xml:space="preserve">ui </w:t>
      </w:r>
      <w:r w:rsidR="003C4E33" w:rsidRPr="003C4E33">
        <w:rPr>
          <w:rFonts w:ascii="Times New Roman" w:hAnsi="Times New Roman" w:cs="Times New Roman"/>
          <w:sz w:val="24"/>
          <w:szCs w:val="24"/>
        </w:rPr>
        <w:t xml:space="preserve">delegat </w:t>
      </w:r>
      <w:r w:rsidRPr="000E6319">
        <w:rPr>
          <w:rFonts w:ascii="Times New Roman" w:hAnsi="Times New Roman" w:cs="Times New Roman"/>
          <w:sz w:val="24"/>
          <w:szCs w:val="24"/>
        </w:rPr>
        <w:t xml:space="preserve">ESEF cu </w:t>
      </w:r>
      <w:r w:rsidR="00BE1D6A" w:rsidRPr="000E6319">
        <w:rPr>
          <w:rFonts w:ascii="Times New Roman" w:hAnsi="Times New Roman" w:cs="Times New Roman"/>
          <w:sz w:val="24"/>
          <w:szCs w:val="24"/>
        </w:rPr>
        <w:t>se</w:t>
      </w:r>
      <w:r w:rsidR="00BE1D6A">
        <w:rPr>
          <w:rFonts w:ascii="Times New Roman" w:hAnsi="Times New Roman" w:cs="Times New Roman"/>
          <w:sz w:val="24"/>
          <w:szCs w:val="24"/>
        </w:rPr>
        <w:t>mnificație</w:t>
      </w:r>
      <w:r w:rsidR="0003710C">
        <w:rPr>
          <w:rFonts w:ascii="Times New Roman" w:hAnsi="Times New Roman" w:cs="Times New Roman"/>
          <w:sz w:val="24"/>
          <w:szCs w:val="24"/>
        </w:rPr>
        <w:t xml:space="preserve"> </w:t>
      </w:r>
      <w:r w:rsidRPr="000E6319">
        <w:rPr>
          <w:rFonts w:ascii="Times New Roman" w:hAnsi="Times New Roman" w:cs="Times New Roman"/>
          <w:sz w:val="24"/>
          <w:szCs w:val="24"/>
        </w:rPr>
        <w:t>contabil</w:t>
      </w:r>
      <w:r w:rsidR="0003710C">
        <w:rPr>
          <w:rFonts w:ascii="Times New Roman" w:hAnsi="Times New Roman" w:cs="Times New Roman"/>
          <w:sz w:val="24"/>
          <w:szCs w:val="24"/>
        </w:rPr>
        <w:t>ă similară</w:t>
      </w:r>
      <w:r w:rsidRPr="000E6319">
        <w:rPr>
          <w:rFonts w:ascii="Times New Roman" w:hAnsi="Times New Roman" w:cs="Times New Roman"/>
          <w:sz w:val="24"/>
          <w:szCs w:val="24"/>
        </w:rPr>
        <w:t xml:space="preserve">, cu excepția cazului în care se creează un element al taxonomiei extinse, în conformitate cu </w:t>
      </w:r>
      <w:r w:rsidR="002746FB">
        <w:rPr>
          <w:rFonts w:ascii="Times New Roman" w:hAnsi="Times New Roman" w:cs="Times New Roman"/>
          <w:sz w:val="24"/>
          <w:szCs w:val="24"/>
        </w:rPr>
        <w:t>A</w:t>
      </w:r>
      <w:r w:rsidRPr="000E6319">
        <w:rPr>
          <w:rFonts w:ascii="Times New Roman" w:hAnsi="Times New Roman" w:cs="Times New Roman"/>
          <w:sz w:val="24"/>
          <w:szCs w:val="24"/>
        </w:rPr>
        <w:t xml:space="preserve">nexa </w:t>
      </w:r>
      <w:r w:rsidR="0003710C">
        <w:rPr>
          <w:rFonts w:ascii="Times New Roman" w:hAnsi="Times New Roman" w:cs="Times New Roman"/>
          <w:sz w:val="24"/>
          <w:szCs w:val="24"/>
        </w:rPr>
        <w:t xml:space="preserve">a </w:t>
      </w:r>
      <w:r w:rsidRPr="000E6319">
        <w:rPr>
          <w:rFonts w:ascii="Times New Roman" w:hAnsi="Times New Roman" w:cs="Times New Roman"/>
          <w:sz w:val="24"/>
          <w:szCs w:val="24"/>
        </w:rPr>
        <w:t>IV</w:t>
      </w:r>
      <w:r w:rsidR="0003710C">
        <w:rPr>
          <w:rFonts w:ascii="Times New Roman" w:hAnsi="Times New Roman" w:cs="Times New Roman"/>
          <w:sz w:val="24"/>
          <w:szCs w:val="24"/>
        </w:rPr>
        <w:t>-a</w:t>
      </w:r>
      <w:r w:rsidRPr="000E6319">
        <w:rPr>
          <w:rFonts w:ascii="Times New Roman" w:hAnsi="Times New Roman" w:cs="Times New Roman"/>
          <w:sz w:val="24"/>
          <w:szCs w:val="24"/>
        </w:rPr>
        <w:t xml:space="preserve"> a </w:t>
      </w:r>
      <w:r w:rsidR="00BE1D6A" w:rsidRPr="000E6319">
        <w:rPr>
          <w:rFonts w:ascii="Times New Roman" w:hAnsi="Times New Roman" w:cs="Times New Roman"/>
          <w:sz w:val="24"/>
          <w:szCs w:val="24"/>
        </w:rPr>
        <w:t>Regulamentul</w:t>
      </w:r>
      <w:r w:rsidR="00BE1D6A">
        <w:rPr>
          <w:rFonts w:ascii="Times New Roman" w:hAnsi="Times New Roman" w:cs="Times New Roman"/>
          <w:sz w:val="24"/>
          <w:szCs w:val="24"/>
        </w:rPr>
        <w:t>ui</w:t>
      </w:r>
      <w:r w:rsidRPr="000E6319">
        <w:rPr>
          <w:rFonts w:ascii="Times New Roman" w:hAnsi="Times New Roman" w:cs="Times New Roman"/>
          <w:sz w:val="24"/>
          <w:szCs w:val="24"/>
        </w:rPr>
        <w:t xml:space="preserve"> </w:t>
      </w:r>
      <w:r w:rsidR="003C4E33" w:rsidRPr="003C4E33">
        <w:rPr>
          <w:rFonts w:ascii="Times New Roman" w:hAnsi="Times New Roman" w:cs="Times New Roman"/>
          <w:sz w:val="24"/>
          <w:szCs w:val="24"/>
        </w:rPr>
        <w:t xml:space="preserve">delegat </w:t>
      </w:r>
      <w:r w:rsidRPr="000E6319">
        <w:rPr>
          <w:rFonts w:ascii="Times New Roman" w:hAnsi="Times New Roman" w:cs="Times New Roman"/>
          <w:sz w:val="24"/>
          <w:szCs w:val="24"/>
        </w:rPr>
        <w:t>ESEF;</w:t>
      </w:r>
    </w:p>
    <w:p w14:paraId="59104C51" w14:textId="04A2EAAE" w:rsidR="0046319C" w:rsidRPr="000E6319" w:rsidRDefault="0046319C" w:rsidP="0046319C">
      <w:pPr>
        <w:numPr>
          <w:ilvl w:val="1"/>
          <w:numId w:val="22"/>
        </w:numPr>
        <w:spacing w:before="120" w:after="0" w:line="240" w:lineRule="auto"/>
        <w:ind w:left="72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să respecte regulile comune privind marcajele</w:t>
      </w:r>
      <w:r w:rsidR="00AE6081" w:rsidRPr="00147194">
        <w:rPr>
          <w:rFonts w:ascii="Times New Roman" w:hAnsi="Times New Roman" w:cs="Times New Roman"/>
          <w:sz w:val="24"/>
          <w:szCs w:val="24"/>
          <w:vertAlign w:val="superscript"/>
        </w:rPr>
        <w:footnoteReference w:id="14"/>
      </w:r>
      <w:r w:rsidRPr="000E6319">
        <w:rPr>
          <w:rFonts w:ascii="Times New Roman" w:hAnsi="Times New Roman" w:cs="Times New Roman"/>
          <w:sz w:val="24"/>
          <w:szCs w:val="24"/>
        </w:rPr>
        <w:t xml:space="preserve">; </w:t>
      </w:r>
    </w:p>
    <w:p w14:paraId="614C9BE3" w14:textId="18D4C655" w:rsidR="0046319C" w:rsidRPr="000E6319" w:rsidRDefault="0046319C" w:rsidP="0046319C">
      <w:pPr>
        <w:numPr>
          <w:ilvl w:val="0"/>
          <w:numId w:val="20"/>
        </w:numPr>
        <w:spacing w:before="120" w:after="0" w:line="240" w:lineRule="auto"/>
        <w:ind w:left="360" w:hanging="360"/>
        <w:contextualSpacing/>
        <w:jc w:val="both"/>
        <w:rPr>
          <w:rFonts w:ascii="Times New Roman" w:hAnsi="Times New Roman" w:cs="Times New Roman"/>
          <w:sz w:val="24"/>
          <w:szCs w:val="24"/>
        </w:rPr>
      </w:pPr>
      <w:r w:rsidRPr="000E6319">
        <w:rPr>
          <w:rFonts w:ascii="Times New Roman" w:hAnsi="Times New Roman" w:cs="Times New Roman"/>
          <w:sz w:val="24"/>
          <w:szCs w:val="24"/>
        </w:rPr>
        <w:t>pentru alte situații financiare</w:t>
      </w:r>
      <w:r w:rsidR="0003710C">
        <w:rPr>
          <w:rFonts w:ascii="Times New Roman" w:hAnsi="Times New Roman" w:cs="Times New Roman"/>
          <w:sz w:val="24"/>
          <w:szCs w:val="24"/>
        </w:rPr>
        <w:t xml:space="preserve">, cu excepția celor </w:t>
      </w:r>
      <w:r w:rsidRPr="000E6319">
        <w:rPr>
          <w:rFonts w:ascii="Times New Roman" w:hAnsi="Times New Roman" w:cs="Times New Roman"/>
          <w:sz w:val="24"/>
          <w:szCs w:val="24"/>
        </w:rPr>
        <w:t>financiare consolidate întocmite în conformitate cu IFRS</w:t>
      </w:r>
      <w:r w:rsidR="00AE6081" w:rsidRPr="00147194">
        <w:rPr>
          <w:rFonts w:ascii="Times New Roman" w:hAnsi="Times New Roman" w:cs="Times New Roman"/>
          <w:sz w:val="24"/>
          <w:szCs w:val="24"/>
          <w:vertAlign w:val="superscript"/>
        </w:rPr>
        <w:footnoteReference w:id="15"/>
      </w:r>
      <w:r w:rsidRPr="000E6319">
        <w:rPr>
          <w:rFonts w:ascii="Times New Roman" w:hAnsi="Times New Roman" w:cs="Times New Roman"/>
          <w:sz w:val="24"/>
          <w:szCs w:val="24"/>
        </w:rPr>
        <w:t xml:space="preserve">: </w:t>
      </w:r>
    </w:p>
    <w:p w14:paraId="530532D9" w14:textId="77777777" w:rsidR="0046319C" w:rsidRPr="00033CE5" w:rsidRDefault="0046319C" w:rsidP="0046319C">
      <w:pPr>
        <w:numPr>
          <w:ilvl w:val="1"/>
          <w:numId w:val="21"/>
        </w:numPr>
        <w:spacing w:before="120" w:after="0" w:line="240" w:lineRule="auto"/>
        <w:ind w:left="540" w:hanging="180"/>
        <w:contextualSpacing/>
        <w:jc w:val="both"/>
        <w:rPr>
          <w:rFonts w:ascii="Times New Roman" w:hAnsi="Times New Roman" w:cs="Times New Roman"/>
          <w:sz w:val="24"/>
          <w:szCs w:val="24"/>
        </w:rPr>
      </w:pPr>
      <w:r w:rsidRPr="00033CE5">
        <w:rPr>
          <w:rFonts w:ascii="Times New Roman" w:hAnsi="Times New Roman" w:cs="Times New Roman"/>
          <w:sz w:val="24"/>
          <w:szCs w:val="24"/>
        </w:rPr>
        <w:t xml:space="preserve">toate marcajele incluse de emitent în mod voluntar sau în conformitate cu legislația națională trebuie să îndeplinească următoarele cerințe: </w:t>
      </w:r>
    </w:p>
    <w:p w14:paraId="097C9171" w14:textId="77777777" w:rsidR="0046319C" w:rsidRPr="000E6319" w:rsidRDefault="0046319C" w:rsidP="0046319C">
      <w:pPr>
        <w:numPr>
          <w:ilvl w:val="1"/>
          <w:numId w:val="22"/>
        </w:numPr>
        <w:spacing w:before="120" w:after="0" w:line="240" w:lineRule="auto"/>
        <w:ind w:left="72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să utilizeze limbajul de marcare XBRL;</w:t>
      </w:r>
    </w:p>
    <w:p w14:paraId="0AE45107" w14:textId="550E428B" w:rsidR="0046319C" w:rsidRPr="000E6319" w:rsidRDefault="0046319C" w:rsidP="0046319C">
      <w:pPr>
        <w:numPr>
          <w:ilvl w:val="1"/>
          <w:numId w:val="22"/>
        </w:numPr>
        <w:spacing w:before="120" w:after="0" w:line="240" w:lineRule="auto"/>
        <w:ind w:left="72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 xml:space="preserve">să utilizeze o taxonomie specifică furnizată de statul membru în care este </w:t>
      </w:r>
      <w:r w:rsidR="002746FB" w:rsidRPr="000E6319">
        <w:rPr>
          <w:rFonts w:ascii="Times New Roman" w:hAnsi="Times New Roman" w:cs="Times New Roman"/>
          <w:sz w:val="24"/>
          <w:szCs w:val="24"/>
        </w:rPr>
        <w:t>în</w:t>
      </w:r>
      <w:r w:rsidR="002746FB">
        <w:rPr>
          <w:rFonts w:ascii="Times New Roman" w:hAnsi="Times New Roman" w:cs="Times New Roman"/>
          <w:sz w:val="24"/>
          <w:szCs w:val="24"/>
        </w:rPr>
        <w:t>registrat</w:t>
      </w:r>
      <w:r w:rsidR="002746FB" w:rsidRPr="000E6319">
        <w:rPr>
          <w:rFonts w:ascii="Times New Roman" w:hAnsi="Times New Roman" w:cs="Times New Roman"/>
          <w:sz w:val="24"/>
          <w:szCs w:val="24"/>
        </w:rPr>
        <w:t xml:space="preserve"> </w:t>
      </w:r>
      <w:r w:rsidRPr="000E6319">
        <w:rPr>
          <w:rFonts w:ascii="Times New Roman" w:hAnsi="Times New Roman" w:cs="Times New Roman"/>
          <w:sz w:val="24"/>
          <w:szCs w:val="24"/>
        </w:rPr>
        <w:t xml:space="preserve">emitentul; </w:t>
      </w:r>
    </w:p>
    <w:p w14:paraId="74053D20" w14:textId="75C69532" w:rsidR="0046319C" w:rsidRPr="000E6319" w:rsidRDefault="0046319C" w:rsidP="0046319C">
      <w:pPr>
        <w:numPr>
          <w:ilvl w:val="1"/>
          <w:numId w:val="22"/>
        </w:numPr>
        <w:spacing w:before="120" w:after="0" w:line="240" w:lineRule="auto"/>
        <w:ind w:left="720" w:hanging="180"/>
        <w:contextualSpacing/>
        <w:jc w:val="both"/>
        <w:rPr>
          <w:rFonts w:ascii="Times New Roman" w:hAnsi="Times New Roman" w:cs="Times New Roman"/>
          <w:sz w:val="24"/>
          <w:szCs w:val="24"/>
        </w:rPr>
      </w:pPr>
      <w:r w:rsidRPr="000E6319">
        <w:rPr>
          <w:rFonts w:ascii="Times New Roman" w:hAnsi="Times New Roman" w:cs="Times New Roman"/>
          <w:sz w:val="24"/>
          <w:szCs w:val="24"/>
        </w:rPr>
        <w:t>să respecte regulile comune privind marcajele</w:t>
      </w:r>
      <w:r w:rsidR="00751878" w:rsidRPr="00147194">
        <w:rPr>
          <w:rFonts w:ascii="Times New Roman" w:hAnsi="Times New Roman" w:cs="Times New Roman"/>
          <w:sz w:val="24"/>
          <w:szCs w:val="24"/>
          <w:vertAlign w:val="superscript"/>
        </w:rPr>
        <w:footnoteReference w:id="16"/>
      </w:r>
      <w:r w:rsidRPr="000E6319">
        <w:rPr>
          <w:rFonts w:ascii="Times New Roman" w:hAnsi="Times New Roman" w:cs="Times New Roman"/>
          <w:sz w:val="24"/>
          <w:szCs w:val="24"/>
        </w:rPr>
        <w:t>.</w:t>
      </w:r>
    </w:p>
    <w:p w14:paraId="0806EEB0" w14:textId="77777777" w:rsidR="0046319C" w:rsidRPr="0046319C" w:rsidRDefault="0046319C" w:rsidP="0046319C">
      <w:pPr>
        <w:spacing w:before="120" w:after="0" w:line="240" w:lineRule="auto"/>
        <w:jc w:val="both"/>
        <w:rPr>
          <w:rFonts w:ascii="Times New Roman" w:hAnsi="Times New Roman" w:cs="Times New Roman"/>
          <w:sz w:val="24"/>
          <w:szCs w:val="24"/>
          <w:lang w:val="en-GB"/>
        </w:rPr>
      </w:pPr>
    </w:p>
    <w:p w14:paraId="0CFF855F" w14:textId="38A9C69D" w:rsidR="0046319C" w:rsidRDefault="0046319C" w:rsidP="0046319C">
      <w:pPr>
        <w:spacing w:before="120" w:after="0" w:line="240" w:lineRule="auto"/>
        <w:jc w:val="both"/>
        <w:rPr>
          <w:rFonts w:ascii="Times New Roman" w:hAnsi="Times New Roman" w:cs="Times New Roman"/>
          <w:sz w:val="24"/>
          <w:szCs w:val="24"/>
          <w:lang w:val="en-GB"/>
        </w:rPr>
      </w:pPr>
    </w:p>
    <w:p w14:paraId="64355A09" w14:textId="77777777" w:rsidR="00E152EE" w:rsidRPr="0046319C" w:rsidRDefault="00E152EE" w:rsidP="0046319C">
      <w:pPr>
        <w:spacing w:before="120" w:after="0" w:line="240" w:lineRule="auto"/>
        <w:jc w:val="both"/>
        <w:rPr>
          <w:rFonts w:ascii="Times New Roman" w:hAnsi="Times New Roman" w:cs="Times New Roman"/>
          <w:sz w:val="24"/>
          <w:szCs w:val="24"/>
          <w:lang w:val="en-GB"/>
        </w:rPr>
      </w:pPr>
    </w:p>
    <w:p w14:paraId="3F26D846" w14:textId="7538EFE6" w:rsidR="0046319C" w:rsidRPr="000E6319" w:rsidRDefault="0046319C" w:rsidP="0046319C">
      <w:pPr>
        <w:autoSpaceDE w:val="0"/>
        <w:autoSpaceDN w:val="0"/>
        <w:adjustRightInd w:val="0"/>
        <w:spacing w:before="120" w:after="0" w:line="240" w:lineRule="auto"/>
        <w:jc w:val="both"/>
        <w:rPr>
          <w:rFonts w:ascii="Times New Roman" w:hAnsi="Times New Roman" w:cs="Times New Roman"/>
          <w:b/>
          <w:bCs/>
          <w:sz w:val="24"/>
          <w:szCs w:val="24"/>
        </w:rPr>
      </w:pPr>
      <w:r w:rsidRPr="000E6319">
        <w:rPr>
          <w:rFonts w:ascii="Times New Roman" w:hAnsi="Times New Roman" w:cs="Times New Roman"/>
          <w:b/>
          <w:bCs/>
          <w:sz w:val="24"/>
          <w:szCs w:val="24"/>
        </w:rPr>
        <w:lastRenderedPageBreak/>
        <w:t xml:space="preserve">Anexa 2 – Riscuri </w:t>
      </w:r>
      <w:r w:rsidR="00F503E0">
        <w:rPr>
          <w:rFonts w:ascii="Times New Roman" w:hAnsi="Times New Roman" w:cs="Times New Roman"/>
          <w:b/>
          <w:bCs/>
          <w:sz w:val="24"/>
          <w:szCs w:val="24"/>
        </w:rPr>
        <w:t>asociate</w:t>
      </w:r>
      <w:r w:rsidR="00F503E0" w:rsidRPr="000E6319">
        <w:rPr>
          <w:rFonts w:ascii="Times New Roman" w:hAnsi="Times New Roman" w:cs="Times New Roman"/>
          <w:b/>
          <w:bCs/>
          <w:sz w:val="24"/>
          <w:szCs w:val="24"/>
        </w:rPr>
        <w:t xml:space="preserve"> </w:t>
      </w:r>
      <w:r w:rsidRPr="000E6319">
        <w:rPr>
          <w:rFonts w:ascii="Times New Roman" w:hAnsi="Times New Roman" w:cs="Times New Roman"/>
          <w:b/>
          <w:bCs/>
          <w:sz w:val="24"/>
          <w:szCs w:val="24"/>
        </w:rPr>
        <w:t>informațiilor marcate</w:t>
      </w:r>
    </w:p>
    <w:p w14:paraId="53B88425" w14:textId="23F88EDB" w:rsidR="0046319C" w:rsidRPr="000E6319" w:rsidRDefault="0046319C" w:rsidP="0046319C">
      <w:pPr>
        <w:autoSpaceDE w:val="0"/>
        <w:autoSpaceDN w:val="0"/>
        <w:adjustRightInd w:val="0"/>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xml:space="preserve">Riscurile </w:t>
      </w:r>
      <w:r w:rsidR="00F503E0">
        <w:rPr>
          <w:rFonts w:ascii="Times New Roman" w:hAnsi="Times New Roman" w:cs="Times New Roman"/>
          <w:sz w:val="24"/>
          <w:szCs w:val="24"/>
        </w:rPr>
        <w:t>asociate</w:t>
      </w:r>
      <w:r w:rsidR="00F503E0" w:rsidRPr="000E6319">
        <w:rPr>
          <w:rFonts w:ascii="Times New Roman" w:hAnsi="Times New Roman" w:cs="Times New Roman"/>
          <w:sz w:val="24"/>
          <w:szCs w:val="24"/>
        </w:rPr>
        <w:t xml:space="preserve"> </w:t>
      </w:r>
      <w:r w:rsidRPr="000E6319">
        <w:rPr>
          <w:rFonts w:ascii="Times New Roman" w:hAnsi="Times New Roman" w:cs="Times New Roman"/>
          <w:sz w:val="24"/>
          <w:szCs w:val="24"/>
        </w:rPr>
        <w:t>informațiilor marcate pot cuprinde, de exemplu, următoarele domenii:</w:t>
      </w:r>
    </w:p>
    <w:p w14:paraId="1CECD2C5" w14:textId="77777777" w:rsidR="0046319C" w:rsidRPr="0003710C" w:rsidRDefault="0046319C" w:rsidP="0046319C">
      <w:pPr>
        <w:autoSpaceDE w:val="0"/>
        <w:autoSpaceDN w:val="0"/>
        <w:adjustRightInd w:val="0"/>
        <w:spacing w:before="120" w:after="0" w:line="240" w:lineRule="auto"/>
        <w:jc w:val="both"/>
        <w:rPr>
          <w:rFonts w:ascii="Times New Roman" w:hAnsi="Times New Roman" w:cs="Times New Roman"/>
          <w:i/>
          <w:iCs/>
          <w:sz w:val="24"/>
          <w:szCs w:val="24"/>
        </w:rPr>
      </w:pPr>
      <w:r w:rsidRPr="0003710C">
        <w:rPr>
          <w:rFonts w:ascii="Times New Roman" w:hAnsi="Times New Roman" w:cs="Times New Roman"/>
          <w:i/>
          <w:iCs/>
          <w:sz w:val="24"/>
          <w:szCs w:val="24"/>
        </w:rPr>
        <w:t>Exhaustivitatea</w:t>
      </w:r>
    </w:p>
    <w:p w14:paraId="7CFB9110" w14:textId="2350CF21" w:rsidR="0046319C" w:rsidRPr="000E6319" w:rsidRDefault="0046319C" w:rsidP="0046319C">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sidRPr="000E6319">
        <w:rPr>
          <w:rFonts w:ascii="Times New Roman" w:hAnsi="Times New Roman" w:cs="Times New Roman"/>
          <w:sz w:val="24"/>
          <w:szCs w:val="24"/>
        </w:rPr>
        <w:t xml:space="preserve">Nu toate </w:t>
      </w:r>
      <w:r w:rsidR="00F503E0">
        <w:rPr>
          <w:rFonts w:ascii="Times New Roman" w:hAnsi="Times New Roman" w:cs="Times New Roman"/>
          <w:sz w:val="24"/>
          <w:szCs w:val="24"/>
        </w:rPr>
        <w:t>sumele</w:t>
      </w:r>
      <w:r w:rsidR="00F503E0" w:rsidRPr="000E6319">
        <w:rPr>
          <w:rFonts w:ascii="Times New Roman" w:hAnsi="Times New Roman" w:cs="Times New Roman"/>
          <w:sz w:val="24"/>
          <w:szCs w:val="24"/>
        </w:rPr>
        <w:t xml:space="preserve"> </w:t>
      </w:r>
      <w:r w:rsidRPr="000E6319">
        <w:rPr>
          <w:rFonts w:ascii="Times New Roman" w:hAnsi="Times New Roman" w:cs="Times New Roman"/>
          <w:sz w:val="24"/>
          <w:szCs w:val="24"/>
        </w:rPr>
        <w:t>prezentate în situațiile financiare primare</w:t>
      </w:r>
      <w:r w:rsidRPr="000E6319">
        <w:rPr>
          <w:rFonts w:ascii="Calibri" w:hAnsi="Calibri" w:cs="Calibri"/>
          <w:sz w:val="24"/>
          <w:szCs w:val="24"/>
          <w:vertAlign w:val="superscript"/>
        </w:rPr>
        <w:footnoteReference w:id="17"/>
      </w:r>
      <w:r w:rsidRPr="000E6319">
        <w:rPr>
          <w:rFonts w:ascii="Times New Roman" w:hAnsi="Times New Roman" w:cs="Times New Roman"/>
          <w:sz w:val="24"/>
          <w:szCs w:val="24"/>
        </w:rPr>
        <w:t xml:space="preserve"> ale situațiilor financiare consolidate IFRS sunt marcate;</w:t>
      </w:r>
    </w:p>
    <w:p w14:paraId="59F8FDF5" w14:textId="2A7B284D" w:rsidR="0046319C" w:rsidRPr="000E6319" w:rsidRDefault="0046319C" w:rsidP="0046319C">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sidRPr="000E6319">
        <w:rPr>
          <w:rFonts w:ascii="Times New Roman" w:hAnsi="Times New Roman" w:cs="Times New Roman"/>
          <w:sz w:val="24"/>
          <w:szCs w:val="24"/>
        </w:rPr>
        <w:t xml:space="preserve">Nu toate prezentările din situațiile financiare consolidate IFRS sunt marcate conform specificațiilor din Anexa </w:t>
      </w:r>
      <w:r w:rsidR="0003710C">
        <w:rPr>
          <w:rFonts w:ascii="Times New Roman" w:hAnsi="Times New Roman" w:cs="Times New Roman"/>
          <w:sz w:val="24"/>
          <w:szCs w:val="24"/>
        </w:rPr>
        <w:t xml:space="preserve">a </w:t>
      </w:r>
      <w:r w:rsidRPr="000E6319">
        <w:rPr>
          <w:rFonts w:ascii="Times New Roman" w:hAnsi="Times New Roman" w:cs="Times New Roman"/>
          <w:sz w:val="24"/>
          <w:szCs w:val="24"/>
        </w:rPr>
        <w:t>I</w:t>
      </w:r>
      <w:r w:rsidR="0003710C">
        <w:rPr>
          <w:rFonts w:ascii="Times New Roman" w:hAnsi="Times New Roman" w:cs="Times New Roman"/>
          <w:sz w:val="24"/>
          <w:szCs w:val="24"/>
        </w:rPr>
        <w:t>I-</w:t>
      </w:r>
      <w:r w:rsidRPr="000E6319">
        <w:rPr>
          <w:rFonts w:ascii="Times New Roman" w:hAnsi="Times New Roman" w:cs="Times New Roman"/>
          <w:sz w:val="24"/>
          <w:szCs w:val="24"/>
        </w:rPr>
        <w:t xml:space="preserve">a </w:t>
      </w:r>
      <w:r w:rsidR="0003710C">
        <w:rPr>
          <w:rFonts w:ascii="Times New Roman" w:hAnsi="Times New Roman" w:cs="Times New Roman"/>
          <w:sz w:val="24"/>
          <w:szCs w:val="24"/>
        </w:rPr>
        <w:t xml:space="preserve">a </w:t>
      </w:r>
      <w:r w:rsidRPr="000E6319">
        <w:rPr>
          <w:rFonts w:ascii="Times New Roman" w:hAnsi="Times New Roman" w:cs="Times New Roman"/>
          <w:sz w:val="24"/>
          <w:szCs w:val="24"/>
        </w:rPr>
        <w:t xml:space="preserve">Regulamentului </w:t>
      </w:r>
      <w:r w:rsidR="003C4E33" w:rsidRPr="003C4E33">
        <w:rPr>
          <w:rFonts w:ascii="Times New Roman" w:hAnsi="Times New Roman" w:cs="Times New Roman"/>
          <w:sz w:val="24"/>
          <w:szCs w:val="24"/>
        </w:rPr>
        <w:t xml:space="preserve">delegat </w:t>
      </w:r>
      <w:r w:rsidRPr="000E6319">
        <w:rPr>
          <w:rFonts w:ascii="Times New Roman" w:hAnsi="Times New Roman" w:cs="Times New Roman"/>
          <w:sz w:val="24"/>
          <w:szCs w:val="24"/>
        </w:rPr>
        <w:t>ESEF;</w:t>
      </w:r>
    </w:p>
    <w:p w14:paraId="4033969E" w14:textId="4C0ADB94" w:rsidR="0046319C" w:rsidRDefault="0046319C" w:rsidP="0046319C">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sidRPr="000E6319">
        <w:rPr>
          <w:rFonts w:ascii="Times New Roman" w:hAnsi="Times New Roman" w:cs="Times New Roman"/>
          <w:sz w:val="24"/>
          <w:szCs w:val="24"/>
        </w:rPr>
        <w:t>Mar</w:t>
      </w:r>
      <w:r w:rsidR="0088574C">
        <w:rPr>
          <w:rFonts w:ascii="Times New Roman" w:hAnsi="Times New Roman" w:cs="Times New Roman"/>
          <w:sz w:val="24"/>
          <w:szCs w:val="24"/>
        </w:rPr>
        <w:t>ca</w:t>
      </w:r>
      <w:r w:rsidRPr="000E6319">
        <w:rPr>
          <w:rFonts w:ascii="Times New Roman" w:hAnsi="Times New Roman" w:cs="Times New Roman"/>
          <w:sz w:val="24"/>
          <w:szCs w:val="24"/>
        </w:rPr>
        <w:t>jele obligatorii referitoare la identificarea entității sunt omise</w:t>
      </w:r>
      <w:r w:rsidR="001C6B99">
        <w:rPr>
          <w:rFonts w:ascii="Times New Roman" w:hAnsi="Times New Roman" w:cs="Times New Roman"/>
          <w:sz w:val="24"/>
          <w:szCs w:val="24"/>
        </w:rPr>
        <w:t>;</w:t>
      </w:r>
    </w:p>
    <w:p w14:paraId="20AFC881" w14:textId="61A2C593" w:rsidR="001C6B99" w:rsidRPr="000E6319" w:rsidRDefault="001C6B99" w:rsidP="0046319C">
      <w:pPr>
        <w:numPr>
          <w:ilvl w:val="0"/>
          <w:numId w:val="17"/>
        </w:numPr>
        <w:autoSpaceDE w:val="0"/>
        <w:autoSpaceDN w:val="0"/>
        <w:adjustRightInd w:val="0"/>
        <w:spacing w:before="120"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Nu toate </w:t>
      </w:r>
      <w:r w:rsidRPr="001C6B99">
        <w:rPr>
          <w:rFonts w:ascii="Times New Roman" w:hAnsi="Times New Roman" w:cs="Times New Roman"/>
          <w:sz w:val="24"/>
          <w:szCs w:val="24"/>
        </w:rPr>
        <w:t xml:space="preserve">bazele de legături pentru calcul ale taxonomiilor </w:t>
      </w:r>
      <w:r>
        <w:t>sunt</w:t>
      </w:r>
      <w:r w:rsidRPr="001C6B99">
        <w:rPr>
          <w:rFonts w:ascii="Times New Roman" w:hAnsi="Times New Roman" w:cs="Times New Roman"/>
          <w:sz w:val="24"/>
          <w:szCs w:val="24"/>
        </w:rPr>
        <w:t xml:space="preserve"> definite</w:t>
      </w:r>
      <w:r>
        <w:rPr>
          <w:rFonts w:ascii="Times New Roman" w:hAnsi="Times New Roman" w:cs="Times New Roman"/>
          <w:sz w:val="24"/>
          <w:szCs w:val="24"/>
        </w:rPr>
        <w:t xml:space="preserve"> sau definite în mod corespunzător.</w:t>
      </w:r>
    </w:p>
    <w:p w14:paraId="48FA857B" w14:textId="77777777" w:rsidR="0046319C" w:rsidRPr="0003710C" w:rsidRDefault="0046319C" w:rsidP="0046319C">
      <w:pPr>
        <w:autoSpaceDE w:val="0"/>
        <w:autoSpaceDN w:val="0"/>
        <w:adjustRightInd w:val="0"/>
        <w:spacing w:before="120" w:after="0" w:line="240" w:lineRule="auto"/>
        <w:jc w:val="both"/>
        <w:rPr>
          <w:rFonts w:ascii="Times New Roman" w:hAnsi="Times New Roman" w:cs="Times New Roman"/>
          <w:i/>
          <w:iCs/>
          <w:sz w:val="24"/>
          <w:szCs w:val="24"/>
        </w:rPr>
      </w:pPr>
      <w:r w:rsidRPr="0003710C">
        <w:rPr>
          <w:rFonts w:ascii="Times New Roman" w:hAnsi="Times New Roman" w:cs="Times New Roman"/>
          <w:i/>
          <w:iCs/>
          <w:sz w:val="24"/>
          <w:szCs w:val="24"/>
        </w:rPr>
        <w:t>Acuratețea</w:t>
      </w:r>
    </w:p>
    <w:p w14:paraId="1793C9B4" w14:textId="151C156F" w:rsidR="0046319C" w:rsidRPr="000E6319" w:rsidRDefault="0046319C" w:rsidP="0046319C">
      <w:pPr>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Informațiile marcate nu corespund cu partea din situațiile financiare care poate fi citită de om;</w:t>
      </w:r>
    </w:p>
    <w:p w14:paraId="1BADCECB" w14:textId="5AFD34AC" w:rsidR="0046319C" w:rsidRPr="000E6319" w:rsidRDefault="0046319C" w:rsidP="0046319C">
      <w:pPr>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Cifrele prezentate în situațiile primare ale situațiilor financiare consolidate IFRS nu au fost marcate corespunzător (de exemplu, anul sau sfârșitul anului, valuta; debit/</w:t>
      </w:r>
      <w:r w:rsidRPr="00751878">
        <w:rPr>
          <w:rFonts w:ascii="Times New Roman" w:hAnsi="Times New Roman" w:cs="Times New Roman"/>
          <w:sz w:val="24"/>
          <w:szCs w:val="24"/>
        </w:rPr>
        <w:t xml:space="preserve">credit; </w:t>
      </w:r>
      <w:r w:rsidR="007C28A0">
        <w:rPr>
          <w:rFonts w:ascii="Times New Roman" w:hAnsi="Times New Roman" w:cs="Times New Roman"/>
          <w:sz w:val="24"/>
          <w:szCs w:val="24"/>
        </w:rPr>
        <w:t>modul de exprimare -</w:t>
      </w:r>
      <w:r w:rsidR="004B0866" w:rsidRPr="004B0866">
        <w:rPr>
          <w:rFonts w:ascii="Times New Roman" w:hAnsi="Times New Roman" w:cs="Times New Roman"/>
          <w:sz w:val="24"/>
          <w:szCs w:val="24"/>
        </w:rPr>
        <w:t xml:space="preserve"> </w:t>
      </w:r>
      <w:r w:rsidRPr="004B0866">
        <w:rPr>
          <w:rFonts w:ascii="Times New Roman" w:hAnsi="Times New Roman" w:cs="Times New Roman"/>
          <w:sz w:val="24"/>
          <w:szCs w:val="24"/>
        </w:rPr>
        <w:t>milioane/mii);</w:t>
      </w:r>
    </w:p>
    <w:p w14:paraId="75E2F166" w14:textId="77777777" w:rsidR="0046319C" w:rsidRPr="000E6319" w:rsidRDefault="0046319C" w:rsidP="0046319C">
      <w:pPr>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Au fost selectate elemente neadecvate din taxonomia de bază;</w:t>
      </w:r>
    </w:p>
    <w:p w14:paraId="1E53C3FA" w14:textId="2793DF50" w:rsidR="0046319C" w:rsidRPr="000E6319" w:rsidRDefault="0046319C" w:rsidP="0046319C">
      <w:pPr>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xml:space="preserve">- O prezentare denaturată a semnificației contabile a unei sume sau marcarea unei prezentări </w:t>
      </w:r>
      <w:r w:rsidR="00201A99">
        <w:rPr>
          <w:rFonts w:ascii="Times New Roman" w:hAnsi="Times New Roman" w:cs="Times New Roman"/>
          <w:sz w:val="24"/>
          <w:szCs w:val="24"/>
        </w:rPr>
        <w:t xml:space="preserve">de informații </w:t>
      </w:r>
      <w:r w:rsidRPr="000E6319">
        <w:rPr>
          <w:rFonts w:ascii="Times New Roman" w:hAnsi="Times New Roman" w:cs="Times New Roman"/>
          <w:sz w:val="24"/>
          <w:szCs w:val="24"/>
        </w:rPr>
        <w:t>prin selectarea unui element neadecvat din taxonomia de bază;</w:t>
      </w:r>
    </w:p>
    <w:p w14:paraId="0E921348" w14:textId="59453A7D" w:rsidR="0046319C" w:rsidRPr="000E6319" w:rsidRDefault="0046319C" w:rsidP="0046319C">
      <w:pPr>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Un element al taxonomiei extinse creat pentru a marca o sumă a unui element al taxonomiei de bază nu este asociat cu elementul taxonomiei de bază care are cea mai apropiată semnificație contabilă și/sau domeniu de aplicare cu acel element al taxonomiei extinse a emitentului;</w:t>
      </w:r>
    </w:p>
    <w:p w14:paraId="6EDEFBA4" w14:textId="77777777" w:rsidR="00C25243" w:rsidRDefault="0046319C" w:rsidP="0046319C">
      <w:pPr>
        <w:spacing w:before="120" w:after="0" w:line="240" w:lineRule="auto"/>
        <w:jc w:val="both"/>
        <w:rPr>
          <w:rFonts w:ascii="Times New Roman" w:hAnsi="Times New Roman" w:cs="Times New Roman"/>
          <w:sz w:val="24"/>
          <w:szCs w:val="24"/>
        </w:rPr>
      </w:pPr>
      <w:r w:rsidRPr="000E6319">
        <w:rPr>
          <w:rFonts w:ascii="Times New Roman" w:hAnsi="Times New Roman" w:cs="Times New Roman"/>
          <w:sz w:val="24"/>
          <w:szCs w:val="24"/>
        </w:rPr>
        <w:t>- În cazul în care un element al taxonomiei extinse combină un număr de elemente ale taxonomiei de bază, emitentul nu a asociat acel element al taxonomiei extinse cu fiecare dintre elementele taxonomiei de bază aferente</w:t>
      </w:r>
      <w:r w:rsidR="00C25243">
        <w:rPr>
          <w:rFonts w:ascii="Times New Roman" w:hAnsi="Times New Roman" w:cs="Times New Roman"/>
          <w:sz w:val="24"/>
          <w:szCs w:val="24"/>
        </w:rPr>
        <w:t>;</w:t>
      </w:r>
    </w:p>
    <w:p w14:paraId="14FA733F" w14:textId="5B397487" w:rsidR="0046319C" w:rsidRPr="000E6319" w:rsidRDefault="00C25243" w:rsidP="0046319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5243">
        <w:rPr>
          <w:rFonts w:ascii="Times New Roman" w:hAnsi="Times New Roman" w:cs="Times New Roman"/>
          <w:sz w:val="24"/>
          <w:szCs w:val="24"/>
        </w:rPr>
        <w:t xml:space="preserve">Marcările voluntare (cele </w:t>
      </w:r>
      <w:r w:rsidR="00BF2D50">
        <w:rPr>
          <w:rFonts w:ascii="Times New Roman" w:hAnsi="Times New Roman" w:cs="Times New Roman"/>
          <w:sz w:val="24"/>
          <w:szCs w:val="24"/>
        </w:rPr>
        <w:t>î</w:t>
      </w:r>
      <w:r w:rsidRPr="00C25243">
        <w:rPr>
          <w:rFonts w:ascii="Times New Roman" w:hAnsi="Times New Roman" w:cs="Times New Roman"/>
          <w:sz w:val="24"/>
          <w:szCs w:val="24"/>
        </w:rPr>
        <w:t>n afara art. 4 alin. (2) din Regulamentul delegat ESEF) sunt parțiale sau selective</w:t>
      </w:r>
      <w:r w:rsidR="0046319C" w:rsidRPr="000E6319">
        <w:rPr>
          <w:rFonts w:ascii="Times New Roman" w:hAnsi="Times New Roman" w:cs="Times New Roman"/>
          <w:sz w:val="24"/>
          <w:szCs w:val="24"/>
        </w:rPr>
        <w:t>.</w:t>
      </w:r>
    </w:p>
    <w:p w14:paraId="47476DC6" w14:textId="77777777" w:rsidR="0046319C" w:rsidRDefault="0046319C" w:rsidP="002C6D42">
      <w:pPr>
        <w:pStyle w:val="Listparagraf"/>
        <w:spacing w:before="120" w:after="0" w:line="240" w:lineRule="auto"/>
        <w:ind w:left="0"/>
        <w:contextualSpacing w:val="0"/>
        <w:jc w:val="both"/>
        <w:rPr>
          <w:rFonts w:ascii="Times New Roman" w:hAnsi="Times New Roman" w:cs="Times New Roman"/>
          <w:bCs/>
          <w:sz w:val="24"/>
          <w:szCs w:val="24"/>
          <w:lang w:val="ro-RO"/>
        </w:rPr>
      </w:pPr>
    </w:p>
    <w:p w14:paraId="60B5649A" w14:textId="75F845D6" w:rsidR="000311A9" w:rsidRPr="00D54ECE" w:rsidRDefault="000311A9" w:rsidP="00D54ECE"/>
    <w:sectPr w:rsidR="000311A9" w:rsidRPr="00D54ECE" w:rsidSect="00742519">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3997" w14:textId="77777777" w:rsidR="00F36929" w:rsidRDefault="00F36929" w:rsidP="00823605">
      <w:pPr>
        <w:spacing w:after="0" w:line="240" w:lineRule="auto"/>
      </w:pPr>
      <w:r>
        <w:separator/>
      </w:r>
    </w:p>
  </w:endnote>
  <w:endnote w:type="continuationSeparator" w:id="0">
    <w:p w14:paraId="6F25C55D" w14:textId="77777777" w:rsidR="00F36929" w:rsidRDefault="00F36929" w:rsidP="0082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1A10" w14:textId="77777777" w:rsidR="00F36929" w:rsidRDefault="00F36929" w:rsidP="00823605">
      <w:pPr>
        <w:spacing w:after="0" w:line="240" w:lineRule="auto"/>
      </w:pPr>
      <w:r>
        <w:separator/>
      </w:r>
    </w:p>
  </w:footnote>
  <w:footnote w:type="continuationSeparator" w:id="0">
    <w:p w14:paraId="03B25B33" w14:textId="77777777" w:rsidR="00F36929" w:rsidRDefault="00F36929" w:rsidP="00823605">
      <w:pPr>
        <w:spacing w:after="0" w:line="240" w:lineRule="auto"/>
      </w:pPr>
      <w:r>
        <w:continuationSeparator/>
      </w:r>
    </w:p>
  </w:footnote>
  <w:footnote w:id="1">
    <w:p w14:paraId="7995BC19" w14:textId="10CECD7A" w:rsidR="00D16263" w:rsidRPr="00D16263" w:rsidRDefault="00D16263">
      <w:pPr>
        <w:pStyle w:val="Textnotdesubsol"/>
        <w:rPr>
          <w:lang w:val="ro-RO"/>
        </w:rPr>
      </w:pPr>
      <w:r>
        <w:rPr>
          <w:rStyle w:val="Referinnotdesubsol"/>
        </w:rPr>
        <w:footnoteRef/>
      </w:r>
      <w:r>
        <w:t xml:space="preserve"> </w:t>
      </w:r>
      <w:r>
        <w:rPr>
          <w:lang w:val="ro-RO"/>
        </w:rPr>
        <w:t xml:space="preserve">în cuprinsul acestui ghid, prin </w:t>
      </w:r>
      <w:r w:rsidR="00666D35">
        <w:rPr>
          <w:lang w:val="ro-RO"/>
        </w:rPr>
        <w:t>sintagma</w:t>
      </w:r>
      <w:r>
        <w:rPr>
          <w:lang w:val="ro-RO"/>
        </w:rPr>
        <w:t xml:space="preserve"> ”auditori” se înțelege</w:t>
      </w:r>
      <w:r w:rsidR="00666D35">
        <w:rPr>
          <w:lang w:val="ro-RO"/>
        </w:rPr>
        <w:t xml:space="preserve"> </w:t>
      </w:r>
      <w:r>
        <w:rPr>
          <w:lang w:val="ro-RO"/>
        </w:rPr>
        <w:t>”auditori financiari și firme de audit”</w:t>
      </w:r>
    </w:p>
  </w:footnote>
  <w:footnote w:id="2">
    <w:p w14:paraId="0DAF1FFE" w14:textId="406B7869" w:rsidR="00FB7A61" w:rsidRPr="00FB7A61" w:rsidRDefault="00FB7A61" w:rsidP="00FB7A61">
      <w:pPr>
        <w:pStyle w:val="Textnotdesubsol"/>
        <w:jc w:val="both"/>
        <w:rPr>
          <w:lang w:val="ro-RO"/>
        </w:rPr>
      </w:pPr>
      <w:r>
        <w:rPr>
          <w:rStyle w:val="Referinnotdesubsol"/>
        </w:rPr>
        <w:footnoteRef/>
      </w:r>
      <w:r>
        <w:t xml:space="preserve"> </w:t>
      </w:r>
      <w:r w:rsidRPr="00FB7A61">
        <w:rPr>
          <w:lang w:val="ro-RO"/>
        </w:rPr>
        <w:t xml:space="preserve">Comunicarea interpretativă a Comisiei Europene </w:t>
      </w:r>
      <w:r w:rsidRPr="00FB7A61">
        <w:rPr>
          <w:rFonts w:ascii="Times New Roman" w:hAnsi="Times New Roman" w:cs="Times New Roman"/>
          <w:lang w:val="ro-RO"/>
        </w:rPr>
        <w:t>2020/C379/01</w:t>
      </w:r>
      <w:r w:rsidRPr="00FB7A61">
        <w:rPr>
          <w:lang w:val="ro-RO"/>
        </w:rPr>
        <w:t xml:space="preserve"> privind întocmirea, auditul și publicarea situațiilor financiare incluse în rapoartele financiare anuale elaborate în conformitate cu Regulamentul delegat (UE) 2019/815 al Comisiei privind formatul de raportare electronic unic (</w:t>
      </w:r>
      <w:r w:rsidR="003F653F">
        <w:rPr>
          <w:lang w:val="ro-RO"/>
        </w:rPr>
        <w:t xml:space="preserve">Regulamentul </w:t>
      </w:r>
      <w:bookmarkStart w:id="0" w:name="_Hlk88666533"/>
      <w:r w:rsidR="003C4E33">
        <w:rPr>
          <w:lang w:val="ro-RO"/>
        </w:rPr>
        <w:t xml:space="preserve">delegat </w:t>
      </w:r>
      <w:bookmarkEnd w:id="0"/>
      <w:r w:rsidRPr="00FB7A61">
        <w:rPr>
          <w:lang w:val="ro-RO"/>
        </w:rPr>
        <w:t>ESEF)</w:t>
      </w:r>
    </w:p>
  </w:footnote>
  <w:footnote w:id="3">
    <w:p w14:paraId="126B16A3" w14:textId="1DB96EE6" w:rsidR="00FB7A61" w:rsidRPr="00FB7A61" w:rsidRDefault="00FB7A61" w:rsidP="00FB7A61">
      <w:pPr>
        <w:pStyle w:val="Textnotdesubsol"/>
        <w:rPr>
          <w:lang w:val="ro-RO"/>
        </w:rPr>
      </w:pPr>
      <w:r w:rsidRPr="00FB7A61">
        <w:rPr>
          <w:rStyle w:val="Referinnotdesubsol"/>
          <w:lang w:val="ro-RO"/>
        </w:rPr>
        <w:footnoteRef/>
      </w:r>
      <w:r w:rsidRPr="00FB7A61">
        <w:rPr>
          <w:lang w:val="ro-RO"/>
        </w:rPr>
        <w:t xml:space="preserve"> </w:t>
      </w:r>
      <w:r w:rsidRPr="00FB7A61">
        <w:rPr>
          <w:lang w:val="ro-RO"/>
        </w:rPr>
        <w:t>Regulamentul delegat (UE) 2018/815 al Comisiei de completare a Directivei 2004/109/CE a Parlamentului European și a Consiliului în ceea ce privește standardele tehnice de reglementare privind specificarea unui format de raportare electronic unic</w:t>
      </w:r>
      <w:r w:rsidR="003F653F">
        <w:rPr>
          <w:lang w:val="ro-RO"/>
        </w:rPr>
        <w:t xml:space="preserve"> (Regulamentul </w:t>
      </w:r>
      <w:r w:rsidR="003C4E33" w:rsidRPr="003C4E33">
        <w:rPr>
          <w:lang w:val="ro-RO"/>
        </w:rPr>
        <w:t xml:space="preserve">delegat </w:t>
      </w:r>
      <w:r w:rsidR="003F653F">
        <w:rPr>
          <w:lang w:val="ro-RO"/>
        </w:rPr>
        <w:t>ESEF)</w:t>
      </w:r>
    </w:p>
  </w:footnote>
  <w:footnote w:id="4">
    <w:p w14:paraId="138350B5" w14:textId="66FB124E" w:rsidR="00FB7A61" w:rsidRPr="00FB7A61" w:rsidRDefault="00FB7A61" w:rsidP="00FB7A61">
      <w:pPr>
        <w:pStyle w:val="Textnotdesubsol"/>
        <w:rPr>
          <w:lang w:val="ro-RO"/>
        </w:rPr>
      </w:pPr>
      <w:r w:rsidRPr="00FB7A61">
        <w:rPr>
          <w:rStyle w:val="Referinnotdesubsol"/>
        </w:rPr>
        <w:footnoteRef/>
      </w:r>
      <w:r w:rsidRPr="00FB7A61">
        <w:t xml:space="preserve"> </w:t>
      </w:r>
      <w:r w:rsidRPr="00FB7A61">
        <w:rPr>
          <w:lang w:val="ro-RO"/>
        </w:rPr>
        <w:t xml:space="preserve">Cuvântul ”trebuie” este folosit în acest ghid pentru a descrie așteptările agreate la nivelul </w:t>
      </w:r>
      <w:r w:rsidRPr="009625A6">
        <w:rPr>
          <w:lang w:val="ro-RO"/>
        </w:rPr>
        <w:t>ASPAAS</w:t>
      </w:r>
      <w:r w:rsidR="00494F84">
        <w:rPr>
          <w:lang w:val="ro-RO"/>
        </w:rPr>
        <w:t>.</w:t>
      </w:r>
    </w:p>
  </w:footnote>
  <w:footnote w:id="5">
    <w:p w14:paraId="02C19F39" w14:textId="6CDCDA80" w:rsidR="00ED79B4" w:rsidRPr="00ED79B4" w:rsidRDefault="00ED79B4">
      <w:pPr>
        <w:pStyle w:val="Textnotdesubsol"/>
        <w:rPr>
          <w:lang w:val="ro-RO"/>
        </w:rPr>
      </w:pPr>
      <w:r w:rsidRPr="00ED79B4">
        <w:rPr>
          <w:rStyle w:val="Referinnotdesubsol"/>
          <w:lang w:val="ro-RO"/>
        </w:rPr>
        <w:footnoteRef/>
      </w:r>
      <w:r w:rsidRPr="00ED79B4">
        <w:rPr>
          <w:lang w:val="ro-RO"/>
        </w:rPr>
        <w:t xml:space="preserve"> </w:t>
      </w:r>
      <w:r w:rsidRPr="00ED79B4">
        <w:rPr>
          <w:lang w:val="ro-RO"/>
        </w:rPr>
        <w:t>Nu se folosește pragul de semnificație în această privință</w:t>
      </w:r>
    </w:p>
  </w:footnote>
  <w:footnote w:id="6">
    <w:p w14:paraId="43261064" w14:textId="77777777" w:rsidR="00420D3F" w:rsidRPr="0046319C" w:rsidRDefault="00420D3F" w:rsidP="00420D3F">
      <w:pPr>
        <w:pStyle w:val="Textnotdesubsol"/>
        <w:rPr>
          <w:lang w:val="ro-RO"/>
        </w:rPr>
      </w:pPr>
      <w:r w:rsidRPr="0046319C">
        <w:rPr>
          <w:rStyle w:val="Referinnotdesubsol"/>
        </w:rPr>
        <w:footnoteRef/>
      </w:r>
      <w:r w:rsidRPr="0046319C">
        <w:t xml:space="preserve"> </w:t>
      </w:r>
      <w:r w:rsidRPr="0046319C">
        <w:rPr>
          <w:lang w:val="ro-RO"/>
        </w:rPr>
        <w:t>A se vedea Anexa 2 de mai jos</w:t>
      </w:r>
    </w:p>
  </w:footnote>
  <w:footnote w:id="7">
    <w:p w14:paraId="264FB66E" w14:textId="77777777" w:rsidR="00420D3F" w:rsidRPr="0046319C" w:rsidRDefault="00420D3F" w:rsidP="00420D3F">
      <w:pPr>
        <w:pStyle w:val="Textnotdesubsol"/>
        <w:rPr>
          <w:lang w:val="ro-RO"/>
        </w:rPr>
      </w:pPr>
      <w:r w:rsidRPr="0046319C">
        <w:rPr>
          <w:rStyle w:val="Referinnotdesubsol"/>
          <w:lang w:val="ro-RO"/>
        </w:rPr>
        <w:footnoteRef/>
      </w:r>
      <w:r w:rsidRPr="0046319C">
        <w:rPr>
          <w:lang w:val="ro-RO"/>
        </w:rPr>
        <w:t xml:space="preserve"> </w:t>
      </w:r>
      <w:r w:rsidRPr="0046319C">
        <w:rPr>
          <w:lang w:val="ro-RO"/>
        </w:rPr>
        <w:t>Nu se folosește pragul de semnificație în această privință</w:t>
      </w:r>
    </w:p>
  </w:footnote>
  <w:footnote w:id="8">
    <w:p w14:paraId="5B16553A" w14:textId="738921A4" w:rsidR="00420D3F" w:rsidRPr="0046319C" w:rsidRDefault="00420D3F" w:rsidP="00420D3F">
      <w:pPr>
        <w:pStyle w:val="Textnotdesubsol"/>
        <w:rPr>
          <w:lang w:val="ro-RO"/>
        </w:rPr>
      </w:pPr>
      <w:r w:rsidRPr="0046319C">
        <w:rPr>
          <w:rStyle w:val="Referinnotdesubsol"/>
          <w:lang w:val="ro-RO"/>
        </w:rPr>
        <w:footnoteRef/>
      </w:r>
      <w:r w:rsidRPr="0046319C">
        <w:rPr>
          <w:lang w:val="ro-RO"/>
        </w:rPr>
        <w:t xml:space="preserve"> </w:t>
      </w:r>
      <w:r w:rsidRPr="0046319C">
        <w:rPr>
          <w:lang w:val="ro-RO"/>
        </w:rPr>
        <w:t xml:space="preserve">Aceste informații includ și </w:t>
      </w:r>
      <w:r w:rsidR="008A37F7" w:rsidRPr="00972054">
        <w:rPr>
          <w:lang w:val="ro-RO"/>
        </w:rPr>
        <w:t>sumele</w:t>
      </w:r>
      <w:r w:rsidR="008A37F7" w:rsidRPr="0046319C">
        <w:rPr>
          <w:lang w:val="ro-RO"/>
        </w:rPr>
        <w:t xml:space="preserve"> </w:t>
      </w:r>
      <w:r w:rsidRPr="0046319C">
        <w:rPr>
          <w:lang w:val="ro-RO"/>
        </w:rPr>
        <w:t>menționate la punctul 9.</w:t>
      </w:r>
    </w:p>
  </w:footnote>
  <w:footnote w:id="9">
    <w:p w14:paraId="02D085EA" w14:textId="77777777" w:rsidR="00420D3F" w:rsidRPr="0046319C" w:rsidRDefault="00420D3F" w:rsidP="00420D3F">
      <w:pPr>
        <w:pStyle w:val="Textnotdesubsol"/>
        <w:rPr>
          <w:lang w:val="ro-RO"/>
        </w:rPr>
      </w:pPr>
      <w:r w:rsidRPr="0046319C">
        <w:rPr>
          <w:rStyle w:val="Referinnotdesubsol"/>
          <w:lang w:val="ro-RO"/>
        </w:rPr>
        <w:footnoteRef/>
      </w:r>
      <w:r w:rsidRPr="0046319C">
        <w:rPr>
          <w:lang w:val="ro-RO"/>
        </w:rPr>
        <w:t xml:space="preserve"> </w:t>
      </w:r>
      <w:r w:rsidRPr="0046319C">
        <w:rPr>
          <w:lang w:val="ro-RO"/>
        </w:rPr>
        <w:t>A se vedea punctul 6 referitor la pragul de semnificație</w:t>
      </w:r>
    </w:p>
  </w:footnote>
  <w:footnote w:id="10">
    <w:p w14:paraId="14AE0E71" w14:textId="77777777" w:rsidR="00420D3F" w:rsidRPr="00155383" w:rsidRDefault="00420D3F" w:rsidP="00420D3F">
      <w:pPr>
        <w:pStyle w:val="Textnotdesubsol"/>
        <w:rPr>
          <w:lang w:val="ro-RO"/>
        </w:rPr>
      </w:pPr>
      <w:r w:rsidRPr="00155383">
        <w:rPr>
          <w:rStyle w:val="Referinnotdesubsol"/>
          <w:lang w:val="ro-RO"/>
        </w:rPr>
        <w:footnoteRef/>
      </w:r>
      <w:r w:rsidRPr="00155383">
        <w:rPr>
          <w:lang w:val="ro-RO"/>
        </w:rPr>
        <w:t xml:space="preserve"> </w:t>
      </w:r>
      <w:bookmarkStart w:id="3" w:name="_Hlk86849924"/>
      <w:r w:rsidRPr="00155383">
        <w:rPr>
          <w:lang w:val="ro-RO"/>
        </w:rPr>
        <w:t>Inclusiv cu persoanele responsabile cu prezentarea situațiilor financiare în format ESEF</w:t>
      </w:r>
      <w:bookmarkEnd w:id="3"/>
    </w:p>
  </w:footnote>
  <w:footnote w:id="11">
    <w:p w14:paraId="746CD3E0" w14:textId="77777777" w:rsidR="00420D3F" w:rsidRPr="00147194" w:rsidRDefault="00420D3F" w:rsidP="00420D3F">
      <w:pPr>
        <w:pStyle w:val="Textnotdesubsol"/>
        <w:rPr>
          <w:lang w:val="ro-RO"/>
        </w:rPr>
      </w:pPr>
      <w:r w:rsidRPr="00147194">
        <w:rPr>
          <w:rStyle w:val="Referinnotdesubsol"/>
          <w:lang w:val="ro-RO"/>
        </w:rPr>
        <w:footnoteRef/>
      </w:r>
      <w:r w:rsidRPr="00147194">
        <w:rPr>
          <w:lang w:val="ro-RO"/>
        </w:rPr>
        <w:t xml:space="preserve"> </w:t>
      </w:r>
      <w:r w:rsidRPr="00147194">
        <w:rPr>
          <w:lang w:val="ro-RO"/>
        </w:rPr>
        <w:t>Inclusiv cu persoanele responsabile cu prezentarea situațiilor financiare în format ESEF</w:t>
      </w:r>
    </w:p>
  </w:footnote>
  <w:footnote w:id="12">
    <w:p w14:paraId="71375057" w14:textId="32B77387" w:rsidR="00443166" w:rsidRPr="00443166" w:rsidRDefault="00443166">
      <w:pPr>
        <w:pStyle w:val="Textnotdesubsol"/>
        <w:rPr>
          <w:lang w:val="ro-RO"/>
        </w:rPr>
      </w:pPr>
      <w:r w:rsidRPr="00443166">
        <w:rPr>
          <w:rStyle w:val="Referinnotdesubsol"/>
          <w:lang w:val="ro-RO"/>
        </w:rPr>
        <w:footnoteRef/>
      </w:r>
      <w:r w:rsidRPr="00443166">
        <w:rPr>
          <w:lang w:val="ro-RO"/>
        </w:rPr>
        <w:t xml:space="preserve"> </w:t>
      </w:r>
      <w:r w:rsidRPr="00443166">
        <w:rPr>
          <w:lang w:val="ro-RO"/>
        </w:rPr>
        <w:t>Prin situații financiare consolidate întocmite în conformitate cu IFRS, astfel cum au fost adoptate de UE se înțelege și situaţii financiare consolidate întocmite în conformitate cu OMFP nr. 2844/2016 pentru aprobarea Reglementărilor contabile conforme cu Standardele Internaţionale de Raportare Financiară</w:t>
      </w:r>
      <w:r w:rsidR="00BF4C14">
        <w:rPr>
          <w:lang w:val="ro-RO"/>
        </w:rPr>
        <w:t>, cu modificările și completările ulterioare.</w:t>
      </w:r>
    </w:p>
  </w:footnote>
  <w:footnote w:id="13">
    <w:p w14:paraId="583B2C75" w14:textId="42D7D896" w:rsidR="003F653F" w:rsidRPr="00147194" w:rsidRDefault="003F653F" w:rsidP="003F653F">
      <w:pPr>
        <w:pStyle w:val="Textnotdesubsol"/>
        <w:rPr>
          <w:lang w:val="ro-RO"/>
        </w:rPr>
      </w:pPr>
      <w:r w:rsidRPr="00147194">
        <w:rPr>
          <w:rStyle w:val="Referinnotdesubsol"/>
          <w:lang w:val="ro-RO"/>
        </w:rPr>
        <w:footnoteRef/>
      </w:r>
      <w:r w:rsidRPr="00147194">
        <w:rPr>
          <w:lang w:val="ro-RO"/>
        </w:rPr>
        <w:t xml:space="preserve"> </w:t>
      </w:r>
      <w:r w:rsidRPr="003F653F">
        <w:rPr>
          <w:lang w:val="ro-RO"/>
        </w:rPr>
        <w:t>A se vedea arti</w:t>
      </w:r>
      <w:r>
        <w:rPr>
          <w:lang w:val="ro-RO"/>
        </w:rPr>
        <w:t>colul 4 din Regulamentul</w:t>
      </w:r>
      <w:r w:rsidRPr="003F653F">
        <w:rPr>
          <w:lang w:val="ro-RO"/>
        </w:rPr>
        <w:t xml:space="preserve"> </w:t>
      </w:r>
      <w:r w:rsidR="003C4E33" w:rsidRPr="003C4E33">
        <w:rPr>
          <w:lang w:val="ro-RO"/>
        </w:rPr>
        <w:t xml:space="preserve">delegat </w:t>
      </w:r>
      <w:r w:rsidRPr="003F653F">
        <w:rPr>
          <w:lang w:val="ro-RO"/>
        </w:rPr>
        <w:t>ESEF</w:t>
      </w:r>
      <w:r w:rsidR="00BF4C14">
        <w:rPr>
          <w:lang w:val="ro-RO"/>
        </w:rPr>
        <w:t>.</w:t>
      </w:r>
    </w:p>
  </w:footnote>
  <w:footnote w:id="14">
    <w:p w14:paraId="7911D678" w14:textId="6D9CC476" w:rsidR="00AE6081" w:rsidRPr="00147194" w:rsidRDefault="00AE6081" w:rsidP="00AE6081">
      <w:pPr>
        <w:pStyle w:val="Textnotdesubsol"/>
        <w:rPr>
          <w:lang w:val="ro-RO"/>
        </w:rPr>
      </w:pPr>
      <w:r w:rsidRPr="00147194">
        <w:rPr>
          <w:rStyle w:val="Referinnotdesubsol"/>
          <w:lang w:val="ro-RO"/>
        </w:rPr>
        <w:footnoteRef/>
      </w:r>
      <w:r w:rsidRPr="00147194">
        <w:rPr>
          <w:lang w:val="ro-RO"/>
        </w:rPr>
        <w:t xml:space="preserve"> </w:t>
      </w:r>
      <w:r w:rsidRPr="003F653F">
        <w:rPr>
          <w:lang w:val="ro-RO"/>
        </w:rPr>
        <w:t>A se vedea arti</w:t>
      </w:r>
      <w:r>
        <w:rPr>
          <w:lang w:val="ro-RO"/>
        </w:rPr>
        <w:t>colul 6 din Regulamentul</w:t>
      </w:r>
      <w:r w:rsidRPr="003F653F">
        <w:rPr>
          <w:lang w:val="ro-RO"/>
        </w:rPr>
        <w:t xml:space="preserve"> </w:t>
      </w:r>
      <w:r w:rsidR="003C4E33" w:rsidRPr="003C4E33">
        <w:rPr>
          <w:lang w:val="ro-RO"/>
        </w:rPr>
        <w:t xml:space="preserve">delegat </w:t>
      </w:r>
      <w:r w:rsidRPr="003F653F">
        <w:rPr>
          <w:lang w:val="ro-RO"/>
        </w:rPr>
        <w:t>ESEF</w:t>
      </w:r>
      <w:r w:rsidR="00BF4C14">
        <w:rPr>
          <w:lang w:val="ro-RO"/>
        </w:rPr>
        <w:t>.</w:t>
      </w:r>
    </w:p>
  </w:footnote>
  <w:footnote w:id="15">
    <w:p w14:paraId="29F276E0" w14:textId="3229D822" w:rsidR="00AE6081" w:rsidRPr="00147194" w:rsidRDefault="00AE6081" w:rsidP="00AE6081">
      <w:pPr>
        <w:pStyle w:val="Textnotdesubsol"/>
        <w:rPr>
          <w:lang w:val="ro-RO"/>
        </w:rPr>
      </w:pPr>
      <w:r w:rsidRPr="00147194">
        <w:rPr>
          <w:rStyle w:val="Referinnotdesubsol"/>
          <w:lang w:val="ro-RO"/>
        </w:rPr>
        <w:footnoteRef/>
      </w:r>
      <w:r w:rsidRPr="00147194">
        <w:rPr>
          <w:lang w:val="ro-RO"/>
        </w:rPr>
        <w:t xml:space="preserve"> </w:t>
      </w:r>
      <w:r w:rsidRPr="003F653F">
        <w:rPr>
          <w:lang w:val="ro-RO"/>
        </w:rPr>
        <w:t>A se vedea arti</w:t>
      </w:r>
      <w:r>
        <w:rPr>
          <w:lang w:val="ro-RO"/>
        </w:rPr>
        <w:t>colul 5 din Regulamentul</w:t>
      </w:r>
      <w:r w:rsidRPr="003F653F">
        <w:rPr>
          <w:lang w:val="ro-RO"/>
        </w:rPr>
        <w:t xml:space="preserve"> </w:t>
      </w:r>
      <w:r w:rsidR="003C4E33" w:rsidRPr="003C4E33">
        <w:rPr>
          <w:lang w:val="ro-RO"/>
        </w:rPr>
        <w:t xml:space="preserve">delegat </w:t>
      </w:r>
      <w:r w:rsidRPr="003F653F">
        <w:rPr>
          <w:lang w:val="ro-RO"/>
        </w:rPr>
        <w:t>ESEF</w:t>
      </w:r>
      <w:r>
        <w:rPr>
          <w:lang w:val="ro-RO"/>
        </w:rPr>
        <w:t xml:space="preserve">. </w:t>
      </w:r>
      <w:r w:rsidRPr="00AE6081">
        <w:rPr>
          <w:lang w:val="ro-RO"/>
        </w:rPr>
        <w:t>Aceste reguli se aplică emitenților înregistrați în statele membre ale UE</w:t>
      </w:r>
      <w:r w:rsidR="00BF4C14">
        <w:rPr>
          <w:lang w:val="ro-RO"/>
        </w:rPr>
        <w:t>.</w:t>
      </w:r>
    </w:p>
  </w:footnote>
  <w:footnote w:id="16">
    <w:p w14:paraId="5E56A595" w14:textId="4936E33E" w:rsidR="00751878" w:rsidRPr="00147194" w:rsidRDefault="00751878" w:rsidP="00751878">
      <w:pPr>
        <w:pStyle w:val="Textnotdesubsol"/>
        <w:rPr>
          <w:lang w:val="ro-RO"/>
        </w:rPr>
      </w:pPr>
      <w:r w:rsidRPr="00147194">
        <w:rPr>
          <w:rStyle w:val="Referinnotdesubsol"/>
          <w:lang w:val="ro-RO"/>
        </w:rPr>
        <w:footnoteRef/>
      </w:r>
      <w:r w:rsidRPr="00147194">
        <w:rPr>
          <w:lang w:val="ro-RO"/>
        </w:rPr>
        <w:t xml:space="preserve"> </w:t>
      </w:r>
      <w:r w:rsidRPr="003F653F">
        <w:rPr>
          <w:lang w:val="ro-RO"/>
        </w:rPr>
        <w:t>A se vedea arti</w:t>
      </w:r>
      <w:r>
        <w:rPr>
          <w:lang w:val="ro-RO"/>
        </w:rPr>
        <w:t>colul 6 din Regulamentul</w:t>
      </w:r>
      <w:r w:rsidRPr="003F653F">
        <w:rPr>
          <w:lang w:val="ro-RO"/>
        </w:rPr>
        <w:t xml:space="preserve"> </w:t>
      </w:r>
      <w:r w:rsidR="003C4E33" w:rsidRPr="003C4E33">
        <w:rPr>
          <w:lang w:val="ro-RO"/>
        </w:rPr>
        <w:t xml:space="preserve">delegat </w:t>
      </w:r>
      <w:r w:rsidRPr="003F653F">
        <w:rPr>
          <w:lang w:val="ro-RO"/>
        </w:rPr>
        <w:t>ESEF</w:t>
      </w:r>
      <w:r>
        <w:rPr>
          <w:lang w:val="ro-RO"/>
        </w:rPr>
        <w:t>.</w:t>
      </w:r>
    </w:p>
  </w:footnote>
  <w:footnote w:id="17">
    <w:p w14:paraId="6723F34E" w14:textId="77777777" w:rsidR="0046319C" w:rsidRPr="00F31A49" w:rsidRDefault="0046319C" w:rsidP="0046319C">
      <w:pPr>
        <w:pStyle w:val="Textnotdesubsol"/>
        <w:rPr>
          <w:lang w:val="ro-RO"/>
        </w:rPr>
      </w:pPr>
      <w:r w:rsidRPr="00F31A49">
        <w:rPr>
          <w:rStyle w:val="Referinnotdesubsol"/>
          <w:lang w:val="ro-RO"/>
        </w:rPr>
        <w:footnoteRef/>
      </w:r>
      <w:r w:rsidRPr="00F31A49">
        <w:rPr>
          <w:lang w:val="ro-RO"/>
        </w:rPr>
        <w:t xml:space="preserve"> </w:t>
      </w:r>
      <w:r w:rsidRPr="00F31A49">
        <w:rPr>
          <w:lang w:val="ro-RO"/>
        </w:rPr>
        <w:t>Situațiile financiare primare cuprind situația poziției financiare, situația profitului sau pierderii și a altor elemente ale rezultatului global, situația modificărilor capitalurilor proprii și situația fluxurilor de trezorerie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7BC92"/>
    <w:multiLevelType w:val="hybridMultilevel"/>
    <w:tmpl w:val="4BDAF9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E1500"/>
    <w:multiLevelType w:val="hybridMultilevel"/>
    <w:tmpl w:val="20E8DDFA"/>
    <w:lvl w:ilvl="0" w:tplc="186A06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92A33D0"/>
    <w:multiLevelType w:val="hybridMultilevel"/>
    <w:tmpl w:val="8A1CDD52"/>
    <w:lvl w:ilvl="0" w:tplc="43323ED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CBD70A5"/>
    <w:multiLevelType w:val="hybridMultilevel"/>
    <w:tmpl w:val="9EA83CE8"/>
    <w:lvl w:ilvl="0" w:tplc="181A037E">
      <w:start w:val="1"/>
      <w:numFmt w:val="decimal"/>
      <w:lvlText w:val="%1."/>
      <w:lvlJc w:val="left"/>
      <w:pPr>
        <w:ind w:left="720" w:hanging="360"/>
      </w:pPr>
      <w:rPr>
        <w:rFonts w:ascii="Bahnschrift" w:eastAsiaTheme="minorHAnsi" w:hAnsi="Bahnschrift"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FA7382"/>
    <w:multiLevelType w:val="hybridMultilevel"/>
    <w:tmpl w:val="2438FDA2"/>
    <w:lvl w:ilvl="0" w:tplc="27205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BE46FE"/>
    <w:multiLevelType w:val="hybridMultilevel"/>
    <w:tmpl w:val="A75C2568"/>
    <w:lvl w:ilvl="0" w:tplc="04180001">
      <w:start w:val="1"/>
      <w:numFmt w:val="bullet"/>
      <w:lvlText w:val=""/>
      <w:lvlJc w:val="left"/>
      <w:pPr>
        <w:ind w:left="2148" w:hanging="360"/>
      </w:pPr>
      <w:rPr>
        <w:rFonts w:ascii="Symbol" w:hAnsi="Symbol"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6" w15:restartNumberingAfterBreak="0">
    <w:nsid w:val="2ADD1731"/>
    <w:multiLevelType w:val="hybridMultilevel"/>
    <w:tmpl w:val="3A80897A"/>
    <w:lvl w:ilvl="0" w:tplc="80D284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824258"/>
    <w:multiLevelType w:val="hybridMultilevel"/>
    <w:tmpl w:val="9BB276FE"/>
    <w:lvl w:ilvl="0" w:tplc="389055B6">
      <w:start w:val="1"/>
      <w:numFmt w:val="decimal"/>
      <w:lvlText w:val="(%1)"/>
      <w:lvlJc w:val="left"/>
      <w:pPr>
        <w:ind w:left="720" w:hanging="360"/>
      </w:pPr>
      <w:rPr>
        <w:rFonts w:hint="default"/>
      </w:rPr>
    </w:lvl>
    <w:lvl w:ilvl="1" w:tplc="543A90E8">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4D0461C"/>
    <w:multiLevelType w:val="hybridMultilevel"/>
    <w:tmpl w:val="2438FDA2"/>
    <w:lvl w:ilvl="0" w:tplc="27205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E11591"/>
    <w:multiLevelType w:val="hybridMultilevel"/>
    <w:tmpl w:val="12C0A6E4"/>
    <w:lvl w:ilvl="0" w:tplc="04180001">
      <w:start w:val="1"/>
      <w:numFmt w:val="bullet"/>
      <w:lvlText w:val=""/>
      <w:lvlJc w:val="left"/>
      <w:pPr>
        <w:ind w:left="2148" w:hanging="360"/>
      </w:pPr>
      <w:rPr>
        <w:rFonts w:ascii="Symbol" w:hAnsi="Symbol"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10" w15:restartNumberingAfterBreak="0">
    <w:nsid w:val="446D58B5"/>
    <w:multiLevelType w:val="hybridMultilevel"/>
    <w:tmpl w:val="F17CDE30"/>
    <w:lvl w:ilvl="0" w:tplc="F9BA0A58">
      <w:start w:val="1"/>
      <w:numFmt w:val="lowerRoman"/>
      <w:lvlText w:val="%1)"/>
      <w:lvlJc w:val="left"/>
      <w:pPr>
        <w:ind w:left="1080" w:hanging="720"/>
      </w:pPr>
      <w:rPr>
        <w:rFonts w:hint="default"/>
      </w:rPr>
    </w:lvl>
    <w:lvl w:ilvl="1" w:tplc="802A4518">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6B55940"/>
    <w:multiLevelType w:val="hybridMultilevel"/>
    <w:tmpl w:val="900A54EA"/>
    <w:lvl w:ilvl="0" w:tplc="6C849C2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0729DC"/>
    <w:multiLevelType w:val="hybridMultilevel"/>
    <w:tmpl w:val="1988CCC4"/>
    <w:lvl w:ilvl="0" w:tplc="543A90E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9324F85"/>
    <w:multiLevelType w:val="hybridMultilevel"/>
    <w:tmpl w:val="D972A0F6"/>
    <w:lvl w:ilvl="0" w:tplc="6C849C26">
      <w:start w:val="1"/>
      <w:numFmt w:val="bullet"/>
      <w:lvlText w:val=""/>
      <w:lvlJc w:val="left"/>
      <w:pPr>
        <w:ind w:left="2148" w:hanging="360"/>
      </w:pPr>
      <w:rPr>
        <w:rFonts w:ascii="Symbol" w:hAnsi="Symbol"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14" w15:restartNumberingAfterBreak="0">
    <w:nsid w:val="53053544"/>
    <w:multiLevelType w:val="hybridMultilevel"/>
    <w:tmpl w:val="8A5C962C"/>
    <w:lvl w:ilvl="0" w:tplc="3490D27C">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53F364CA"/>
    <w:multiLevelType w:val="hybridMultilevel"/>
    <w:tmpl w:val="DB4ED2C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5055DD8"/>
    <w:multiLevelType w:val="hybridMultilevel"/>
    <w:tmpl w:val="CA48D33E"/>
    <w:lvl w:ilvl="0" w:tplc="FFFFFFFF">
      <w:start w:val="1"/>
      <w:numFmt w:val="bullet"/>
      <w:lvlText w:val=""/>
      <w:lvlJc w:val="left"/>
      <w:pPr>
        <w:ind w:left="1080" w:hanging="360"/>
      </w:pPr>
      <w:rPr>
        <w:rFonts w:ascii="Symbol" w:hAnsi="Symbol" w:hint="default"/>
      </w:rPr>
    </w:lvl>
    <w:lvl w:ilvl="1" w:tplc="6C849C26">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7E5418B"/>
    <w:multiLevelType w:val="hybridMultilevel"/>
    <w:tmpl w:val="65CA6882"/>
    <w:lvl w:ilvl="0" w:tplc="6C849C26">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64862FF1"/>
    <w:multiLevelType w:val="hybridMultilevel"/>
    <w:tmpl w:val="50BC9826"/>
    <w:lvl w:ilvl="0" w:tplc="652EEC6A">
      <w:start w:val="2"/>
      <w:numFmt w:val="bullet"/>
      <w:lvlText w:val="-"/>
      <w:lvlJc w:val="left"/>
      <w:pPr>
        <w:ind w:left="720" w:hanging="360"/>
      </w:pPr>
      <w:rPr>
        <w:rFonts w:ascii="Tahoma" w:eastAsiaTheme="minorHAns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5071AF5"/>
    <w:multiLevelType w:val="hybridMultilevel"/>
    <w:tmpl w:val="E138A7E6"/>
    <w:lvl w:ilvl="0" w:tplc="FFFFFFFF">
      <w:start w:val="1"/>
      <w:numFmt w:val="ideographDigital"/>
      <w:lvlText w:val=""/>
      <w:lvlJc w:val="left"/>
    </w:lvl>
    <w:lvl w:ilvl="1" w:tplc="A164CB4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8EC7FDB"/>
    <w:multiLevelType w:val="hybridMultilevel"/>
    <w:tmpl w:val="C2CE0F28"/>
    <w:lvl w:ilvl="0" w:tplc="DCC4D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1542B7"/>
    <w:multiLevelType w:val="hybridMultilevel"/>
    <w:tmpl w:val="B88440EC"/>
    <w:lvl w:ilvl="0" w:tplc="14DEF384">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6"/>
  </w:num>
  <w:num w:numId="2">
    <w:abstractNumId w:val="3"/>
  </w:num>
  <w:num w:numId="3">
    <w:abstractNumId w:val="14"/>
  </w:num>
  <w:num w:numId="4">
    <w:abstractNumId w:val="21"/>
  </w:num>
  <w:num w:numId="5">
    <w:abstractNumId w:val="4"/>
  </w:num>
  <w:num w:numId="6">
    <w:abstractNumId w:val="8"/>
  </w:num>
  <w:num w:numId="7">
    <w:abstractNumId w:val="2"/>
  </w:num>
  <w:num w:numId="8">
    <w:abstractNumId w:val="20"/>
  </w:num>
  <w:num w:numId="9">
    <w:abstractNumId w:val="1"/>
  </w:num>
  <w:num w:numId="10">
    <w:abstractNumId w:val="18"/>
  </w:num>
  <w:num w:numId="11">
    <w:abstractNumId w:val="7"/>
  </w:num>
  <w:num w:numId="12">
    <w:abstractNumId w:val="17"/>
  </w:num>
  <w:num w:numId="13">
    <w:abstractNumId w:val="9"/>
  </w:num>
  <w:num w:numId="14">
    <w:abstractNumId w:val="5"/>
  </w:num>
  <w:num w:numId="15">
    <w:abstractNumId w:val="13"/>
  </w:num>
  <w:num w:numId="16">
    <w:abstractNumId w:val="12"/>
  </w:num>
  <w:num w:numId="17">
    <w:abstractNumId w:val="11"/>
  </w:num>
  <w:num w:numId="18">
    <w:abstractNumId w:val="0"/>
  </w:num>
  <w:num w:numId="19">
    <w:abstractNumId w:val="19"/>
  </w:num>
  <w:num w:numId="20">
    <w:abstractNumId w:val="1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36F"/>
    <w:rsid w:val="000311A9"/>
    <w:rsid w:val="000339ED"/>
    <w:rsid w:val="00033CE5"/>
    <w:rsid w:val="0003710C"/>
    <w:rsid w:val="00041F78"/>
    <w:rsid w:val="00064729"/>
    <w:rsid w:val="000A6F3E"/>
    <w:rsid w:val="000B5861"/>
    <w:rsid w:val="000C4FB3"/>
    <w:rsid w:val="000D2C3D"/>
    <w:rsid w:val="000E31EF"/>
    <w:rsid w:val="000E6319"/>
    <w:rsid w:val="000E6326"/>
    <w:rsid w:val="000F5EF2"/>
    <w:rsid w:val="00115053"/>
    <w:rsid w:val="00117B18"/>
    <w:rsid w:val="00123DF2"/>
    <w:rsid w:val="001352C8"/>
    <w:rsid w:val="00147194"/>
    <w:rsid w:val="001526CD"/>
    <w:rsid w:val="00155383"/>
    <w:rsid w:val="0016277A"/>
    <w:rsid w:val="00167534"/>
    <w:rsid w:val="0017373D"/>
    <w:rsid w:val="00175D86"/>
    <w:rsid w:val="00177570"/>
    <w:rsid w:val="0019320B"/>
    <w:rsid w:val="001C6B99"/>
    <w:rsid w:val="00201A99"/>
    <w:rsid w:val="00206112"/>
    <w:rsid w:val="00212851"/>
    <w:rsid w:val="00216D26"/>
    <w:rsid w:val="00225171"/>
    <w:rsid w:val="00241058"/>
    <w:rsid w:val="002746FB"/>
    <w:rsid w:val="002777C7"/>
    <w:rsid w:val="00293952"/>
    <w:rsid w:val="002C0FF9"/>
    <w:rsid w:val="002C6D42"/>
    <w:rsid w:val="00305B0C"/>
    <w:rsid w:val="00344021"/>
    <w:rsid w:val="003B27B7"/>
    <w:rsid w:val="003C1B78"/>
    <w:rsid w:val="003C4E33"/>
    <w:rsid w:val="003E20AD"/>
    <w:rsid w:val="003F653F"/>
    <w:rsid w:val="00416E05"/>
    <w:rsid w:val="00420D3F"/>
    <w:rsid w:val="00427788"/>
    <w:rsid w:val="004400E4"/>
    <w:rsid w:val="00443166"/>
    <w:rsid w:val="004525B1"/>
    <w:rsid w:val="0046319C"/>
    <w:rsid w:val="00473740"/>
    <w:rsid w:val="00485B4D"/>
    <w:rsid w:val="00494F84"/>
    <w:rsid w:val="004B0866"/>
    <w:rsid w:val="004D1D77"/>
    <w:rsid w:val="004E4857"/>
    <w:rsid w:val="004F4E50"/>
    <w:rsid w:val="005236D1"/>
    <w:rsid w:val="005313E0"/>
    <w:rsid w:val="005529F1"/>
    <w:rsid w:val="00563274"/>
    <w:rsid w:val="005809CD"/>
    <w:rsid w:val="005838B0"/>
    <w:rsid w:val="00592538"/>
    <w:rsid w:val="005A2D72"/>
    <w:rsid w:val="005A43B5"/>
    <w:rsid w:val="005C413A"/>
    <w:rsid w:val="005D120C"/>
    <w:rsid w:val="005E1550"/>
    <w:rsid w:val="005F28B4"/>
    <w:rsid w:val="00666D35"/>
    <w:rsid w:val="00677204"/>
    <w:rsid w:val="00685ACF"/>
    <w:rsid w:val="006864B5"/>
    <w:rsid w:val="006953FA"/>
    <w:rsid w:val="006A2FF2"/>
    <w:rsid w:val="006A31F2"/>
    <w:rsid w:val="006A5812"/>
    <w:rsid w:val="006B2044"/>
    <w:rsid w:val="006B3BD3"/>
    <w:rsid w:val="006D6A5A"/>
    <w:rsid w:val="006E7903"/>
    <w:rsid w:val="006F1728"/>
    <w:rsid w:val="00707965"/>
    <w:rsid w:val="00712338"/>
    <w:rsid w:val="007203FA"/>
    <w:rsid w:val="00730F7F"/>
    <w:rsid w:val="00742519"/>
    <w:rsid w:val="00751878"/>
    <w:rsid w:val="00761EED"/>
    <w:rsid w:val="007656BF"/>
    <w:rsid w:val="00770651"/>
    <w:rsid w:val="007C28A0"/>
    <w:rsid w:val="007C48B6"/>
    <w:rsid w:val="007C6440"/>
    <w:rsid w:val="007D1C95"/>
    <w:rsid w:val="007D5A54"/>
    <w:rsid w:val="007D754E"/>
    <w:rsid w:val="00823605"/>
    <w:rsid w:val="00876D9E"/>
    <w:rsid w:val="0088574C"/>
    <w:rsid w:val="0089145F"/>
    <w:rsid w:val="008A37F7"/>
    <w:rsid w:val="008C0722"/>
    <w:rsid w:val="008D5EC0"/>
    <w:rsid w:val="00921BDF"/>
    <w:rsid w:val="009536B3"/>
    <w:rsid w:val="009625A6"/>
    <w:rsid w:val="00972054"/>
    <w:rsid w:val="009A2D73"/>
    <w:rsid w:val="009A78D4"/>
    <w:rsid w:val="009D103E"/>
    <w:rsid w:val="009D1851"/>
    <w:rsid w:val="009E078F"/>
    <w:rsid w:val="00A06C1E"/>
    <w:rsid w:val="00A3737D"/>
    <w:rsid w:val="00A60187"/>
    <w:rsid w:val="00A67A21"/>
    <w:rsid w:val="00A73273"/>
    <w:rsid w:val="00A73DC2"/>
    <w:rsid w:val="00A92CCC"/>
    <w:rsid w:val="00AA2519"/>
    <w:rsid w:val="00AC010C"/>
    <w:rsid w:val="00AD49D6"/>
    <w:rsid w:val="00AD646F"/>
    <w:rsid w:val="00AE5AE2"/>
    <w:rsid w:val="00AE6081"/>
    <w:rsid w:val="00AF3648"/>
    <w:rsid w:val="00B1436F"/>
    <w:rsid w:val="00B21989"/>
    <w:rsid w:val="00BA3EB5"/>
    <w:rsid w:val="00BB4987"/>
    <w:rsid w:val="00BD062B"/>
    <w:rsid w:val="00BE1D6A"/>
    <w:rsid w:val="00BF2D50"/>
    <w:rsid w:val="00BF4C14"/>
    <w:rsid w:val="00C01178"/>
    <w:rsid w:val="00C11353"/>
    <w:rsid w:val="00C14E36"/>
    <w:rsid w:val="00C25243"/>
    <w:rsid w:val="00C3528A"/>
    <w:rsid w:val="00CA1553"/>
    <w:rsid w:val="00CA69B7"/>
    <w:rsid w:val="00CC37F8"/>
    <w:rsid w:val="00CC51D6"/>
    <w:rsid w:val="00CE0994"/>
    <w:rsid w:val="00CF0EE2"/>
    <w:rsid w:val="00CF3C7B"/>
    <w:rsid w:val="00D025DF"/>
    <w:rsid w:val="00D03917"/>
    <w:rsid w:val="00D10D4F"/>
    <w:rsid w:val="00D16263"/>
    <w:rsid w:val="00D47AFF"/>
    <w:rsid w:val="00D54ECE"/>
    <w:rsid w:val="00D57F69"/>
    <w:rsid w:val="00D66C8E"/>
    <w:rsid w:val="00D834F4"/>
    <w:rsid w:val="00DA184A"/>
    <w:rsid w:val="00DA3D32"/>
    <w:rsid w:val="00DC67B0"/>
    <w:rsid w:val="00DD05CB"/>
    <w:rsid w:val="00DE3910"/>
    <w:rsid w:val="00DF2EFD"/>
    <w:rsid w:val="00E0182C"/>
    <w:rsid w:val="00E05665"/>
    <w:rsid w:val="00E10A17"/>
    <w:rsid w:val="00E13FBC"/>
    <w:rsid w:val="00E152EE"/>
    <w:rsid w:val="00E3248F"/>
    <w:rsid w:val="00E36757"/>
    <w:rsid w:val="00E43605"/>
    <w:rsid w:val="00E8408F"/>
    <w:rsid w:val="00EB51C6"/>
    <w:rsid w:val="00ED79B4"/>
    <w:rsid w:val="00EE1628"/>
    <w:rsid w:val="00F31A49"/>
    <w:rsid w:val="00F36929"/>
    <w:rsid w:val="00F503E0"/>
    <w:rsid w:val="00F72FEB"/>
    <w:rsid w:val="00F9693A"/>
    <w:rsid w:val="00FA5748"/>
    <w:rsid w:val="00FB212C"/>
    <w:rsid w:val="00FB31DC"/>
    <w:rsid w:val="00FB5739"/>
    <w:rsid w:val="00FB7A61"/>
    <w:rsid w:val="00FD56E1"/>
    <w:rsid w:val="00FD5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0BBD"/>
  <w15:docId w15:val="{389202F0-DF79-4A94-A09C-C7E32127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823605"/>
    <w:pPr>
      <w:autoSpaceDE w:val="0"/>
      <w:autoSpaceDN w:val="0"/>
      <w:adjustRightInd w:val="0"/>
      <w:spacing w:after="0" w:line="240" w:lineRule="auto"/>
    </w:pPr>
    <w:rPr>
      <w:rFonts w:ascii="Calibri" w:hAnsi="Calibri" w:cs="Calibri"/>
      <w:color w:val="000000"/>
      <w:sz w:val="24"/>
      <w:szCs w:val="24"/>
    </w:rPr>
  </w:style>
  <w:style w:type="paragraph" w:styleId="Listparagraf">
    <w:name w:val="List Paragraph"/>
    <w:basedOn w:val="Normal"/>
    <w:uiPriority w:val="34"/>
    <w:qFormat/>
    <w:rsid w:val="00823605"/>
    <w:pPr>
      <w:ind w:left="720"/>
      <w:contextualSpacing/>
    </w:pPr>
    <w:rPr>
      <w:lang w:val="en-US"/>
    </w:rPr>
  </w:style>
  <w:style w:type="paragraph" w:styleId="Subsol">
    <w:name w:val="footer"/>
    <w:basedOn w:val="Normal"/>
    <w:link w:val="SubsolCaracter"/>
    <w:uiPriority w:val="99"/>
    <w:unhideWhenUsed/>
    <w:rsid w:val="00823605"/>
    <w:pPr>
      <w:tabs>
        <w:tab w:val="center" w:pos="4680"/>
        <w:tab w:val="right" w:pos="9360"/>
      </w:tabs>
      <w:spacing w:after="0" w:line="240" w:lineRule="auto"/>
    </w:pPr>
    <w:rPr>
      <w:lang w:val="en-US"/>
    </w:rPr>
  </w:style>
  <w:style w:type="character" w:customStyle="1" w:styleId="SubsolCaracter">
    <w:name w:val="Subsol Caracter"/>
    <w:basedOn w:val="Fontdeparagrafimplicit"/>
    <w:link w:val="Subsol"/>
    <w:uiPriority w:val="99"/>
    <w:rsid w:val="00823605"/>
    <w:rPr>
      <w:lang w:val="en-US"/>
    </w:rPr>
  </w:style>
  <w:style w:type="paragraph" w:styleId="Textnotdesubsol">
    <w:name w:val="footnote text"/>
    <w:basedOn w:val="Normal"/>
    <w:link w:val="TextnotdesubsolCaracter"/>
    <w:uiPriority w:val="99"/>
    <w:semiHidden/>
    <w:unhideWhenUsed/>
    <w:rsid w:val="00823605"/>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823605"/>
    <w:rPr>
      <w:sz w:val="20"/>
      <w:szCs w:val="20"/>
      <w:lang w:val="en-US"/>
    </w:rPr>
  </w:style>
  <w:style w:type="character" w:styleId="Referinnotdesubsol">
    <w:name w:val="footnote reference"/>
    <w:basedOn w:val="Fontdeparagrafimplicit"/>
    <w:uiPriority w:val="99"/>
    <w:semiHidden/>
    <w:unhideWhenUsed/>
    <w:rsid w:val="00823605"/>
    <w:rPr>
      <w:vertAlign w:val="superscript"/>
    </w:rPr>
  </w:style>
  <w:style w:type="paragraph" w:styleId="Index1">
    <w:name w:val="index 1"/>
    <w:next w:val="Frspaiere"/>
    <w:autoRedefine/>
    <w:uiPriority w:val="99"/>
    <w:semiHidden/>
    <w:unhideWhenUsed/>
    <w:rsid w:val="004F4E50"/>
    <w:pPr>
      <w:spacing w:after="0" w:line="240" w:lineRule="auto"/>
      <w:ind w:left="220" w:hanging="220"/>
    </w:pPr>
  </w:style>
  <w:style w:type="paragraph" w:styleId="Frspaiere">
    <w:name w:val="No Spacing"/>
    <w:uiPriority w:val="1"/>
    <w:qFormat/>
    <w:rsid w:val="004F4E50"/>
    <w:pPr>
      <w:spacing w:after="0" w:line="240" w:lineRule="auto"/>
    </w:pPr>
  </w:style>
  <w:style w:type="paragraph" w:customStyle="1" w:styleId="Contents">
    <w:name w:val="Contents"/>
    <w:basedOn w:val="Normal"/>
    <w:uiPriority w:val="99"/>
    <w:rsid w:val="009D1851"/>
    <w:pPr>
      <w:tabs>
        <w:tab w:val="left" w:leader="dot" w:pos="5659"/>
        <w:tab w:val="center" w:pos="6019"/>
      </w:tabs>
      <w:spacing w:after="120" w:line="220" w:lineRule="exact"/>
      <w:ind w:left="360" w:right="1541" w:hanging="360"/>
    </w:pPr>
    <w:rPr>
      <w:rFonts w:ascii="Calibri" w:eastAsia="Calibri" w:hAnsi="Calibri" w:cs="Times New Roman"/>
      <w:sz w:val="20"/>
      <w:lang w:val="en-US" w:eastAsia="es-ES"/>
    </w:rPr>
  </w:style>
  <w:style w:type="character" w:customStyle="1" w:styleId="tlid-translation">
    <w:name w:val="tlid-translation"/>
    <w:basedOn w:val="Fontdeparagrafimplicit"/>
    <w:rsid w:val="000311A9"/>
  </w:style>
  <w:style w:type="paragraph" w:styleId="TextnBalon">
    <w:name w:val="Balloon Text"/>
    <w:basedOn w:val="Normal"/>
    <w:link w:val="TextnBalonCaracter"/>
    <w:uiPriority w:val="99"/>
    <w:semiHidden/>
    <w:unhideWhenUsed/>
    <w:rsid w:val="00DA3D3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A3D32"/>
    <w:rPr>
      <w:rFonts w:ascii="Tahoma" w:hAnsi="Tahoma" w:cs="Tahoma"/>
      <w:sz w:val="16"/>
      <w:szCs w:val="16"/>
    </w:rPr>
  </w:style>
  <w:style w:type="character" w:styleId="Referincomentariu">
    <w:name w:val="annotation reference"/>
    <w:basedOn w:val="Fontdeparagrafimplicit"/>
    <w:uiPriority w:val="99"/>
    <w:semiHidden/>
    <w:unhideWhenUsed/>
    <w:rsid w:val="00BD062B"/>
    <w:rPr>
      <w:sz w:val="16"/>
      <w:szCs w:val="16"/>
    </w:rPr>
  </w:style>
  <w:style w:type="paragraph" w:styleId="Textcomentariu">
    <w:name w:val="annotation text"/>
    <w:basedOn w:val="Normal"/>
    <w:link w:val="TextcomentariuCaracter"/>
    <w:uiPriority w:val="99"/>
    <w:semiHidden/>
    <w:unhideWhenUsed/>
    <w:rsid w:val="00BD062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D062B"/>
    <w:rPr>
      <w:sz w:val="20"/>
      <w:szCs w:val="20"/>
    </w:rPr>
  </w:style>
  <w:style w:type="paragraph" w:styleId="SubiectComentariu">
    <w:name w:val="annotation subject"/>
    <w:basedOn w:val="Textcomentariu"/>
    <w:next w:val="Textcomentariu"/>
    <w:link w:val="SubiectComentariuCaracter"/>
    <w:uiPriority w:val="99"/>
    <w:semiHidden/>
    <w:unhideWhenUsed/>
    <w:rsid w:val="00BD062B"/>
    <w:rPr>
      <w:b/>
      <w:bCs/>
    </w:rPr>
  </w:style>
  <w:style w:type="character" w:customStyle="1" w:styleId="SubiectComentariuCaracter">
    <w:name w:val="Subiect Comentariu Caracter"/>
    <w:basedOn w:val="TextcomentariuCaracter"/>
    <w:link w:val="SubiectComentariu"/>
    <w:uiPriority w:val="99"/>
    <w:semiHidden/>
    <w:rsid w:val="00BD062B"/>
    <w:rPr>
      <w:b/>
      <w:bCs/>
      <w:sz w:val="20"/>
      <w:szCs w:val="20"/>
    </w:rPr>
  </w:style>
  <w:style w:type="paragraph" w:styleId="Revizuire">
    <w:name w:val="Revision"/>
    <w:hidden/>
    <w:uiPriority w:val="99"/>
    <w:semiHidden/>
    <w:rsid w:val="006F1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1807">
      <w:bodyDiv w:val="1"/>
      <w:marLeft w:val="0"/>
      <w:marRight w:val="0"/>
      <w:marTop w:val="0"/>
      <w:marBottom w:val="0"/>
      <w:divBdr>
        <w:top w:val="none" w:sz="0" w:space="0" w:color="auto"/>
        <w:left w:val="none" w:sz="0" w:space="0" w:color="auto"/>
        <w:bottom w:val="none" w:sz="0" w:space="0" w:color="auto"/>
        <w:right w:val="none" w:sz="0" w:space="0" w:color="auto"/>
      </w:divBdr>
      <w:divsChild>
        <w:div w:id="93225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C2E4-097B-411F-B26D-05739756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7</Pages>
  <Words>2440</Words>
  <Characters>14152</Characters>
  <Application>Microsoft Office Word</Application>
  <DocSecurity>0</DocSecurity>
  <Lines>117</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roxana.caruceru@aspaas.gov.ro</dc:creator>
  <cp:keywords/>
  <dc:description/>
  <cp:lastModifiedBy>Mihaela Satmari</cp:lastModifiedBy>
  <cp:revision>67</cp:revision>
  <dcterms:created xsi:type="dcterms:W3CDTF">2021-11-02T07:40:00Z</dcterms:created>
  <dcterms:modified xsi:type="dcterms:W3CDTF">2022-03-31T08:49:00Z</dcterms:modified>
</cp:coreProperties>
</file>